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02801" w14:textId="745D3FE2" w:rsidR="00956D18" w:rsidRPr="003536EC" w:rsidRDefault="00956D18" w:rsidP="00956D18">
      <w:pPr>
        <w:pStyle w:val="Nessunaspaziatura"/>
        <w:jc w:val="both"/>
        <w:rPr>
          <w:b/>
          <w:bCs/>
          <w:sz w:val="36"/>
          <w:szCs w:val="36"/>
        </w:rPr>
      </w:pPr>
      <w:bookmarkStart w:id="0" w:name="_GoBack"/>
      <w:bookmarkEnd w:id="0"/>
      <w:r w:rsidRPr="005B35C0">
        <w:rPr>
          <w:b/>
          <w:bCs/>
          <w:sz w:val="36"/>
          <w:szCs w:val="36"/>
        </w:rPr>
        <w:t>Ricerca partecipata</w:t>
      </w:r>
      <w:r w:rsidRPr="003536EC">
        <w:rPr>
          <w:b/>
          <w:bCs/>
          <w:sz w:val="36"/>
          <w:szCs w:val="36"/>
        </w:rPr>
        <w:t xml:space="preserve"> sulla valutazione dei progetti socio-educativi</w:t>
      </w:r>
      <w:r>
        <w:rPr>
          <w:b/>
          <w:bCs/>
          <w:sz w:val="36"/>
          <w:szCs w:val="36"/>
        </w:rPr>
        <w:t xml:space="preserve"> e </w:t>
      </w:r>
      <w:r w:rsidRPr="003536EC">
        <w:rPr>
          <w:b/>
          <w:bCs/>
          <w:sz w:val="36"/>
          <w:szCs w:val="36"/>
        </w:rPr>
        <w:t>terapeutici nature-</w:t>
      </w:r>
      <w:proofErr w:type="spellStart"/>
      <w:r w:rsidRPr="003536EC">
        <w:rPr>
          <w:b/>
          <w:bCs/>
          <w:sz w:val="36"/>
          <w:szCs w:val="36"/>
        </w:rPr>
        <w:t>based</w:t>
      </w:r>
      <w:proofErr w:type="spellEnd"/>
      <w:r>
        <w:rPr>
          <w:b/>
          <w:bCs/>
          <w:sz w:val="36"/>
          <w:szCs w:val="36"/>
        </w:rPr>
        <w:t>.</w:t>
      </w:r>
    </w:p>
    <w:p w14:paraId="713B6F79" w14:textId="77777777" w:rsidR="00956D18" w:rsidRPr="00950E8B" w:rsidRDefault="00956D18" w:rsidP="00956D18">
      <w:pPr>
        <w:pStyle w:val="Nessunaspaziatura"/>
        <w:jc w:val="both"/>
      </w:pPr>
    </w:p>
    <w:p w14:paraId="2D2861C9" w14:textId="16A07E2C" w:rsidR="00956D18" w:rsidRDefault="00956D18" w:rsidP="00956D18">
      <w:pPr>
        <w:pStyle w:val="Nessunaspaziatura"/>
        <w:jc w:val="both"/>
      </w:pPr>
      <w:r>
        <w:t xml:space="preserve">Il progetto di ricerca </w:t>
      </w:r>
      <w:r w:rsidR="00415B46">
        <w:t xml:space="preserve">oggetto del presente assegno </w:t>
      </w:r>
      <w:r>
        <w:t>si colloca all’interno e in continuità con un’indagine più ampia riguardante la valutazione dei progetti socio-educativi e terapeutici nature-</w:t>
      </w:r>
      <w:proofErr w:type="spellStart"/>
      <w:r>
        <w:t>based</w:t>
      </w:r>
      <w:proofErr w:type="spellEnd"/>
      <w:r>
        <w:t xml:space="preserve">, ideata e condotta </w:t>
      </w:r>
      <w:r w:rsidR="00415B46">
        <w:t xml:space="preserve">a partire dal 2019 </w:t>
      </w:r>
      <w:r>
        <w:t>da</w:t>
      </w:r>
      <w:r w:rsidR="00415B46">
        <w:t xml:space="preserve"> alcuni ricercatori del </w:t>
      </w:r>
      <w:r>
        <w:t xml:space="preserve">Centro di </w:t>
      </w:r>
      <w:r w:rsidR="00415B46">
        <w:t>R</w:t>
      </w:r>
      <w:r>
        <w:t>icerca sull’</w:t>
      </w:r>
      <w:r w:rsidR="00415B46">
        <w:t>E</w:t>
      </w:r>
      <w:r>
        <w:t xml:space="preserve">ducazione e la </w:t>
      </w:r>
      <w:r w:rsidR="00415B46">
        <w:t>F</w:t>
      </w:r>
      <w:r>
        <w:t xml:space="preserve">ormazione </w:t>
      </w:r>
      <w:r w:rsidR="00415B46">
        <w:t>E</w:t>
      </w:r>
      <w:r>
        <w:t xml:space="preserve">sperienziale </w:t>
      </w:r>
      <w:r w:rsidR="00415B46">
        <w:t>O</w:t>
      </w:r>
      <w:r>
        <w:t xml:space="preserve">utdoor </w:t>
      </w:r>
      <w:r w:rsidR="00415B46">
        <w:t>(CEFEO)</w:t>
      </w:r>
      <w:r>
        <w:t xml:space="preserve"> del Dipartimento di Scienze dell’Educazione dell’Università di Bologna.</w:t>
      </w:r>
    </w:p>
    <w:p w14:paraId="013C21B5" w14:textId="4AD13FB3" w:rsidR="00956D18" w:rsidRDefault="00956D18" w:rsidP="00956D18">
      <w:pPr>
        <w:pStyle w:val="Nessunaspaziatura"/>
        <w:jc w:val="both"/>
      </w:pPr>
      <w:r>
        <w:t xml:space="preserve">Il/la titolare dell’assegno di ricerca proseguirà e concluderà il lavoro iniziato sulla valutazione delle pratiche educative e </w:t>
      </w:r>
      <w:r w:rsidR="00415B46">
        <w:t>terapeutiche</w:t>
      </w:r>
      <w:r>
        <w:t xml:space="preserve"> in natura.</w:t>
      </w:r>
    </w:p>
    <w:p w14:paraId="53C2CB80" w14:textId="3564CB97" w:rsidR="00956D18" w:rsidRDefault="00956D18" w:rsidP="00956D18">
      <w:pPr>
        <w:pStyle w:val="Nessunaspaziatura"/>
        <w:jc w:val="both"/>
      </w:pPr>
    </w:p>
    <w:p w14:paraId="76E32D41" w14:textId="77777777" w:rsidR="004C0746" w:rsidRDefault="004C0746" w:rsidP="00956D18">
      <w:pPr>
        <w:pStyle w:val="Nessunaspaziatura"/>
        <w:jc w:val="both"/>
      </w:pPr>
    </w:p>
    <w:p w14:paraId="7D6C01AD" w14:textId="4E0E3165" w:rsidR="00415B46" w:rsidRDefault="00025940" w:rsidP="00956D18">
      <w:pPr>
        <w:pStyle w:val="Nessunaspaziatura"/>
        <w:jc w:val="both"/>
        <w:rPr>
          <w:b/>
          <w:bCs/>
          <w:i/>
          <w:iCs/>
        </w:rPr>
      </w:pPr>
      <w:r w:rsidRPr="00025940">
        <w:rPr>
          <w:b/>
          <w:bCs/>
          <w:i/>
          <w:iCs/>
          <w:sz w:val="28"/>
          <w:szCs w:val="28"/>
        </w:rPr>
        <w:t>Desc</w:t>
      </w:r>
      <w:r>
        <w:rPr>
          <w:b/>
          <w:bCs/>
          <w:i/>
          <w:iCs/>
          <w:sz w:val="28"/>
          <w:szCs w:val="28"/>
        </w:rPr>
        <w:t>r</w:t>
      </w:r>
      <w:r w:rsidRPr="00025940">
        <w:rPr>
          <w:b/>
          <w:bCs/>
          <w:i/>
          <w:iCs/>
          <w:sz w:val="28"/>
          <w:szCs w:val="28"/>
        </w:rPr>
        <w:t>izione della macro-ricerca sulla valutazione delle pratiche educative e terapeutiche nature-</w:t>
      </w:r>
      <w:proofErr w:type="spellStart"/>
      <w:r w:rsidRPr="00025940">
        <w:rPr>
          <w:b/>
          <w:bCs/>
          <w:i/>
          <w:iCs/>
          <w:sz w:val="28"/>
          <w:szCs w:val="28"/>
        </w:rPr>
        <w:t>based</w:t>
      </w:r>
      <w:proofErr w:type="spellEnd"/>
      <w:r w:rsidRPr="00025940">
        <w:rPr>
          <w:b/>
          <w:bCs/>
          <w:i/>
          <w:iCs/>
          <w:sz w:val="28"/>
          <w:szCs w:val="28"/>
        </w:rPr>
        <w:t xml:space="preserve"> </w:t>
      </w:r>
      <w:r w:rsidR="00415B46" w:rsidRPr="00025940">
        <w:rPr>
          <w:b/>
          <w:bCs/>
          <w:i/>
          <w:iCs/>
          <w:sz w:val="28"/>
          <w:szCs w:val="28"/>
        </w:rPr>
        <w:t xml:space="preserve">(in cui si inserisce </w:t>
      </w:r>
      <w:r w:rsidRPr="00025940">
        <w:rPr>
          <w:b/>
          <w:bCs/>
          <w:i/>
          <w:iCs/>
          <w:sz w:val="28"/>
          <w:szCs w:val="28"/>
        </w:rPr>
        <w:t>la ricerca dell’assegnista</w:t>
      </w:r>
      <w:r>
        <w:rPr>
          <w:b/>
          <w:bCs/>
          <w:i/>
          <w:iCs/>
        </w:rPr>
        <w:t>)</w:t>
      </w:r>
    </w:p>
    <w:p w14:paraId="42071F7A" w14:textId="77777777" w:rsidR="00025940" w:rsidRDefault="00025940" w:rsidP="00415B46">
      <w:pPr>
        <w:pStyle w:val="Nessunaspaziatura"/>
        <w:jc w:val="both"/>
        <w:rPr>
          <w:b/>
          <w:bCs/>
          <w:i/>
          <w:iCs/>
        </w:rPr>
      </w:pPr>
    </w:p>
    <w:p w14:paraId="57DE1C96" w14:textId="4FA8DB25" w:rsidR="00415B46" w:rsidRPr="003536EC" w:rsidRDefault="00415B46" w:rsidP="00415B46">
      <w:pPr>
        <w:pStyle w:val="Nessunaspaziatura"/>
        <w:jc w:val="both"/>
        <w:rPr>
          <w:b/>
          <w:bCs/>
          <w:i/>
          <w:iCs/>
        </w:rPr>
      </w:pPr>
      <w:r w:rsidRPr="003536EC">
        <w:rPr>
          <w:b/>
          <w:bCs/>
          <w:i/>
          <w:iCs/>
        </w:rPr>
        <w:t xml:space="preserve">Stato dell’arte e </w:t>
      </w:r>
      <w:r>
        <w:rPr>
          <w:b/>
          <w:bCs/>
          <w:i/>
          <w:iCs/>
        </w:rPr>
        <w:t>motivazioni</w:t>
      </w:r>
      <w:r w:rsidR="00025940" w:rsidRPr="00025940">
        <w:rPr>
          <w:b/>
          <w:bCs/>
          <w:i/>
          <w:iCs/>
        </w:rPr>
        <w:t xml:space="preserve"> </w:t>
      </w:r>
      <w:r w:rsidR="00025940">
        <w:rPr>
          <w:b/>
          <w:bCs/>
          <w:i/>
          <w:iCs/>
        </w:rPr>
        <w:t>della macro-ricerca</w:t>
      </w:r>
    </w:p>
    <w:p w14:paraId="0E48AA99" w14:textId="53331DF9" w:rsidR="00C533C8" w:rsidRDefault="00C533C8" w:rsidP="00415B46">
      <w:pPr>
        <w:pStyle w:val="Nessunaspaziatura"/>
        <w:jc w:val="both"/>
      </w:pPr>
      <w:r w:rsidRPr="00C533C8">
        <w:t>Le pratiche nature-</w:t>
      </w:r>
      <w:proofErr w:type="spellStart"/>
      <w:r w:rsidRPr="00C533C8">
        <w:t>based</w:t>
      </w:r>
      <w:proofErr w:type="spellEnd"/>
      <w:r w:rsidRPr="00C533C8">
        <w:t xml:space="preserve"> in ambito </w:t>
      </w:r>
      <w:r>
        <w:t>educativo, formativo e terapeutico</w:t>
      </w:r>
      <w:r w:rsidR="00CF1E92">
        <w:t>, ma anche sportivo e ricreativo,</w:t>
      </w:r>
      <w:r w:rsidRPr="00C533C8">
        <w:t xml:space="preserve"> sono presenti in Italia già da diversi decenni e sono sempre più diffuse</w:t>
      </w:r>
      <w:r w:rsidR="002B0C5D">
        <w:t xml:space="preserve">. </w:t>
      </w:r>
      <w:r w:rsidR="00AE6546">
        <w:t xml:space="preserve">Queste sono realizzate </w:t>
      </w:r>
      <w:r w:rsidR="00CF1E92">
        <w:t>in diversi tipi di setting</w:t>
      </w:r>
      <w:r>
        <w:t xml:space="preserve"> natural</w:t>
      </w:r>
      <w:r w:rsidR="00AE6546">
        <w:t>i e producono</w:t>
      </w:r>
      <w:r>
        <w:t xml:space="preserve"> una serie di benefici</w:t>
      </w:r>
      <w:r w:rsidR="00CF1E92">
        <w:t xml:space="preserve"> </w:t>
      </w:r>
      <w:r w:rsidR="00AE6546">
        <w:t xml:space="preserve">riconducibili </w:t>
      </w:r>
      <w:r w:rsidR="00CF1E92">
        <w:t>sia all’attivazione corporea, sia al contatto con la natura, sia all</w:t>
      </w:r>
      <w:r w:rsidR="00AE6546">
        <w:t xml:space="preserve">a caratteristica di </w:t>
      </w:r>
      <w:proofErr w:type="spellStart"/>
      <w:r w:rsidR="00AE6546">
        <w:t>esperienzialità</w:t>
      </w:r>
      <w:proofErr w:type="spellEnd"/>
      <w:r w:rsidR="00CF1E92">
        <w:t>, sia agli effetti di tutti questi fattori sulla relazione con sé stessi e con gli altri</w:t>
      </w:r>
      <w:r w:rsidR="00AE6546">
        <w:t>. T</w:t>
      </w:r>
      <w:r w:rsidRPr="00C533C8">
        <w:t>uttavia</w:t>
      </w:r>
      <w:r w:rsidR="00AE6546">
        <w:t xml:space="preserve"> in Italia</w:t>
      </w:r>
      <w:r w:rsidRPr="00C533C8">
        <w:t xml:space="preserve">, </w:t>
      </w:r>
      <w:r w:rsidR="00AE6546">
        <w:t xml:space="preserve">il loro studio </w:t>
      </w:r>
      <w:r w:rsidRPr="00C533C8">
        <w:t>risulta attualmente ancora poco approfondit</w:t>
      </w:r>
      <w:r w:rsidR="00AE6546">
        <w:t>o</w:t>
      </w:r>
      <w:r w:rsidRPr="00C533C8">
        <w:t xml:space="preserve"> </w:t>
      </w:r>
      <w:r>
        <w:t xml:space="preserve">a differenza di </w:t>
      </w:r>
      <w:r w:rsidR="00AE6546">
        <w:t xml:space="preserve">quello che accade in </w:t>
      </w:r>
      <w:r>
        <w:t>altri paesi</w:t>
      </w:r>
      <w:r w:rsidR="004C0746">
        <w:t>, dove</w:t>
      </w:r>
      <w:r>
        <w:t xml:space="preserve"> </w:t>
      </w:r>
      <w:r w:rsidR="00AE6546">
        <w:t xml:space="preserve">le </w:t>
      </w:r>
      <w:r w:rsidR="00CF1E92">
        <w:t>ricerche</w:t>
      </w:r>
      <w:r w:rsidR="004C0746">
        <w:t xml:space="preserve"> sono più numerose, </w:t>
      </w:r>
      <w:r w:rsidR="00773DA0">
        <w:t>permettendo anche confronti e meta-analisi attraverso</w:t>
      </w:r>
      <w:r w:rsidR="004C0746">
        <w:t xml:space="preserve"> revisioni sistematiche (</w:t>
      </w:r>
      <w:r w:rsidR="00CF1E92">
        <w:t xml:space="preserve">Bowen &amp; </w:t>
      </w:r>
      <w:proofErr w:type="spellStart"/>
      <w:r w:rsidR="00CF1E92">
        <w:t>Neill</w:t>
      </w:r>
      <w:proofErr w:type="spellEnd"/>
      <w:r w:rsidR="00CF1E92">
        <w:t xml:space="preserve">, 2013; </w:t>
      </w:r>
      <w:proofErr w:type="spellStart"/>
      <w:r w:rsidR="00CF1E92">
        <w:t>Cason</w:t>
      </w:r>
      <w:proofErr w:type="spellEnd"/>
      <w:r w:rsidR="00CF1E92">
        <w:t xml:space="preserve"> &amp; </w:t>
      </w:r>
      <w:proofErr w:type="spellStart"/>
      <w:r w:rsidR="00CF1E92">
        <w:t>Gillis</w:t>
      </w:r>
      <w:proofErr w:type="spellEnd"/>
      <w:r w:rsidR="00CF1E92">
        <w:t xml:space="preserve">, 1994; </w:t>
      </w:r>
      <w:proofErr w:type="spellStart"/>
      <w:r w:rsidR="00CF1E92">
        <w:t>Gillis</w:t>
      </w:r>
      <w:proofErr w:type="spellEnd"/>
      <w:r w:rsidR="00CF1E92">
        <w:t xml:space="preserve"> &amp; </w:t>
      </w:r>
      <w:proofErr w:type="spellStart"/>
      <w:r w:rsidR="00CF1E92">
        <w:t>Speelman</w:t>
      </w:r>
      <w:proofErr w:type="spellEnd"/>
      <w:r w:rsidR="00CF1E92">
        <w:t xml:space="preserve">, 2008; Hans, 2000; Hattie et al., 1997; Neill, 2008; Neill &amp; Richards, 1998; </w:t>
      </w:r>
      <w:proofErr w:type="spellStart"/>
      <w:r w:rsidR="00CF1E92">
        <w:t>Rickinson</w:t>
      </w:r>
      <w:proofErr w:type="spellEnd"/>
      <w:r w:rsidR="00CF1E92">
        <w:t xml:space="preserve"> et al., 2004; </w:t>
      </w:r>
      <w:proofErr w:type="spellStart"/>
      <w:r w:rsidR="00CF1E92">
        <w:t>Stott</w:t>
      </w:r>
      <w:proofErr w:type="spellEnd"/>
      <w:r w:rsidR="00CF1E92">
        <w:t xml:space="preserve"> et al., 2015)</w:t>
      </w:r>
      <w:r>
        <w:t>.</w:t>
      </w:r>
      <w:r w:rsidR="00CF1E92">
        <w:t xml:space="preserve"> </w:t>
      </w:r>
    </w:p>
    <w:p w14:paraId="49A25351" w14:textId="2013E8DC" w:rsidR="00AE6546" w:rsidRDefault="00CF1E92" w:rsidP="00415B46">
      <w:pPr>
        <w:pStyle w:val="Nessunaspaziatura"/>
        <w:jc w:val="both"/>
      </w:pPr>
      <w:r>
        <w:t xml:space="preserve">All’interno degli </w:t>
      </w:r>
      <w:r w:rsidRPr="00CF1E92">
        <w:t>Outdoor Studies</w:t>
      </w:r>
      <w:r w:rsidR="00AE6546">
        <w:t xml:space="preserve">, </w:t>
      </w:r>
      <w:r>
        <w:t xml:space="preserve">termine ombrello, suggerito da </w:t>
      </w:r>
      <w:proofErr w:type="spellStart"/>
      <w:r w:rsidRPr="00776342">
        <w:t>Humberstone</w:t>
      </w:r>
      <w:proofErr w:type="spellEnd"/>
      <w:r w:rsidR="00776342" w:rsidRPr="00776342">
        <w:t xml:space="preserve"> et al.</w:t>
      </w:r>
      <w:r w:rsidRPr="00776342">
        <w:t xml:space="preserve"> </w:t>
      </w:r>
      <w:r w:rsidR="00AE6546" w:rsidRPr="00776342">
        <w:t>(</w:t>
      </w:r>
      <w:r w:rsidRPr="00776342">
        <w:t>2019</w:t>
      </w:r>
      <w:r w:rsidR="00AE6546" w:rsidRPr="00776342">
        <w:t>)</w:t>
      </w:r>
      <w:r w:rsidRPr="00776342">
        <w:t>,</w:t>
      </w:r>
      <w:r w:rsidRPr="00217A86">
        <w:t xml:space="preserve"> </w:t>
      </w:r>
      <w:r>
        <w:t>che racchiude le ricerche sulle attività nei diversi ambiti nature-</w:t>
      </w:r>
      <w:proofErr w:type="spellStart"/>
      <w:r>
        <w:t>based</w:t>
      </w:r>
      <w:proofErr w:type="spellEnd"/>
      <w:r>
        <w:t xml:space="preserve"> e outdoor, una questione aperta riguarda la valutazione.</w:t>
      </w:r>
    </w:p>
    <w:p w14:paraId="04EC8AEB" w14:textId="77777777" w:rsidR="00AE6546" w:rsidRDefault="00415B46" w:rsidP="00415B46">
      <w:pPr>
        <w:pStyle w:val="Nessunaspaziatura"/>
        <w:jc w:val="both"/>
      </w:pPr>
      <w:r>
        <w:t>Le modalità di valutazione dei progetti</w:t>
      </w:r>
      <w:r w:rsidR="00CF1E92">
        <w:t xml:space="preserve"> socio-educativi e terapeutici</w:t>
      </w:r>
      <w:r>
        <w:t xml:space="preserve"> in natura </w:t>
      </w:r>
      <w:r w:rsidRPr="00885F76">
        <w:t>(</w:t>
      </w:r>
      <w:r w:rsidRPr="00776342">
        <w:t>Cooley, 2015;</w:t>
      </w:r>
      <w:r w:rsidRPr="00885F76">
        <w:t xml:space="preserve"> Davidson et al., 2016; </w:t>
      </w:r>
      <w:r w:rsidRPr="00776342">
        <w:t>Hodgson &amp; Berry, 2011</w:t>
      </w:r>
      <w:r w:rsidRPr="00885F76">
        <w:t>)</w:t>
      </w:r>
      <w:r>
        <w:t xml:space="preserve"> attualmente più diffuse consistono nell’adattamento o nell’ideazione di strumenti di valutazione</w:t>
      </w:r>
      <w:r w:rsidR="001553F0">
        <w:t>,</w:t>
      </w:r>
      <w:r>
        <w:t xml:space="preserve"> per lo più quantitativi</w:t>
      </w:r>
      <w:r w:rsidR="00AE6546">
        <w:t xml:space="preserve">, </w:t>
      </w:r>
      <w:r>
        <w:t xml:space="preserve">solitamente test o questionari di gradimento, che indagano gli effetti degli interventi attraverso un monitoraggio della situazione </w:t>
      </w:r>
      <w:proofErr w:type="spellStart"/>
      <w:r>
        <w:t>pre</w:t>
      </w:r>
      <w:proofErr w:type="spellEnd"/>
      <w:r>
        <w:t xml:space="preserve"> e post</w:t>
      </w:r>
      <w:r w:rsidR="00AE6546">
        <w:t>.</w:t>
      </w:r>
    </w:p>
    <w:p w14:paraId="7EFB8400" w14:textId="060AE103" w:rsidR="00415B46" w:rsidRDefault="00AE6546" w:rsidP="00415B46">
      <w:pPr>
        <w:pStyle w:val="Nessunaspaziatura"/>
        <w:jc w:val="both"/>
      </w:pPr>
      <w:r>
        <w:t>I</w:t>
      </w:r>
      <w:r w:rsidR="00415B46">
        <w:t xml:space="preserve">n Italia, ad esempio, sono stati utilizzati test proiettivi, test di valutazione, l’ICF-dipendenze e altre scale o test psicologici (Galiazzo, 2018; </w:t>
      </w:r>
      <w:proofErr w:type="spellStart"/>
      <w:r w:rsidR="00415B46">
        <w:t>Pasqualotto</w:t>
      </w:r>
      <w:proofErr w:type="spellEnd"/>
      <w:r w:rsidR="00415B46">
        <w:t xml:space="preserve">, 2016; </w:t>
      </w:r>
      <w:proofErr w:type="spellStart"/>
      <w:r w:rsidR="00415B46">
        <w:t>Magnaguagno</w:t>
      </w:r>
      <w:proofErr w:type="spellEnd"/>
      <w:r w:rsidR="00415B46">
        <w:t xml:space="preserve"> et al., 2010; Cossu et al., 2016); all’estero, sono stati anche validati degli strumenti specifici per le esperienze in natura, tra cui ad esempio la “ATES Scale” (Russel &amp; Gillis, 2017) e il “LEQ </w:t>
      </w:r>
      <w:proofErr w:type="spellStart"/>
      <w:r w:rsidR="00415B46">
        <w:t>Questionnaire</w:t>
      </w:r>
      <w:proofErr w:type="spellEnd"/>
      <w:r w:rsidR="00415B46">
        <w:t>” (</w:t>
      </w:r>
      <w:proofErr w:type="spellStart"/>
      <w:r w:rsidR="00415B46">
        <w:t>Neill</w:t>
      </w:r>
      <w:proofErr w:type="spellEnd"/>
      <w:r w:rsidR="00415B46">
        <w:t>, 2008).</w:t>
      </w:r>
    </w:p>
    <w:p w14:paraId="1203E838" w14:textId="567E4754" w:rsidR="00415B46" w:rsidRDefault="00415B46" w:rsidP="00415B46">
      <w:pPr>
        <w:pStyle w:val="Nessunaspaziatura"/>
        <w:jc w:val="both"/>
      </w:pPr>
      <w:r>
        <w:t>Queste modalità valutative “black-box”, pur avendo il merito di aver affermato l’efficacia delle proposte educative in natura – come confermato da numerose reviews internazionali negli ultimi 20 anni</w:t>
      </w:r>
      <w:r w:rsidR="00CF1E92">
        <w:t xml:space="preserve"> sopra citate</w:t>
      </w:r>
      <w:r>
        <w:t xml:space="preserve"> – risultano tuttavia insufficienti a cogliere le molteplici sfaccettature che caratterizzano la complessità di queste esperienze. </w:t>
      </w:r>
      <w:r w:rsidR="001553F0" w:rsidRPr="007051CC">
        <w:rPr>
          <w:lang w:val="en-US"/>
        </w:rPr>
        <w:t xml:space="preserve">In </w:t>
      </w:r>
      <w:r w:rsidR="00773DA0">
        <w:rPr>
          <w:lang w:val="en-US"/>
        </w:rPr>
        <w:t>alter</w:t>
      </w:r>
      <w:r w:rsidR="001553F0" w:rsidRPr="007051CC">
        <w:rPr>
          <w:lang w:val="en-US"/>
        </w:rPr>
        <w:t xml:space="preserve"> parole </w:t>
      </w:r>
      <w:r w:rsidRPr="003D2BDF">
        <w:rPr>
          <w:lang w:val="en-US"/>
        </w:rPr>
        <w:t xml:space="preserve">“We know it works but we are not sure why” (Wichmann, 1991, p. 43). </w:t>
      </w:r>
      <w:r>
        <w:t xml:space="preserve">Come evidenziato da </w:t>
      </w:r>
      <w:proofErr w:type="spellStart"/>
      <w:r>
        <w:t>Scrutton</w:t>
      </w:r>
      <w:proofErr w:type="spellEnd"/>
      <w:r>
        <w:t xml:space="preserve"> e </w:t>
      </w:r>
      <w:proofErr w:type="spellStart"/>
      <w:r>
        <w:t>Beames</w:t>
      </w:r>
      <w:proofErr w:type="spellEnd"/>
      <w:r>
        <w:t xml:space="preserve"> (2015</w:t>
      </w:r>
      <w:r w:rsidR="00DD1966">
        <w:t>, p. 18</w:t>
      </w:r>
      <w:r>
        <w:t>), vi è “una certa dose di ‘magia’ nelle modalità con cui i partecipanti, l’ambiente naturale, le attività del corso, gli istruttori e le circostanze sociali si combinano tra loro”</w:t>
      </w:r>
      <w:r w:rsidR="007051CC">
        <w:t>. È</w:t>
      </w:r>
      <w:r>
        <w:t xml:space="preserve"> proprio questa complessità, questo intrecciarsi di molteplici dimensioni che </w:t>
      </w:r>
      <w:r w:rsidR="007051CC">
        <w:t>è importante indagare</w:t>
      </w:r>
      <w:r>
        <w:t>. Come sostiene Davidson (2001), infatti, è necessario esplorare le variabili di processo, spostare l’attenzione sul come, sui significati e sulle percezioni</w:t>
      </w:r>
      <w:r w:rsidR="00DD1966">
        <w:t>: o</w:t>
      </w:r>
      <w:r w:rsidR="007051CC">
        <w:t>l</w:t>
      </w:r>
      <w:r w:rsidR="00DD1966">
        <w:t xml:space="preserve">tre a conoscere il prima e il dopo, e quindi gli effetti di questi progetti </w:t>
      </w:r>
      <w:r w:rsidR="00DD1966">
        <w:lastRenderedPageBreak/>
        <w:t>sui partecipanti, è fondamentale comprendere cosa accade durante le attività stesse, quali sono i processi che si attivano e che generano cambiamento in chi partecipa, ma anche in chi conduce gli interventi nature-</w:t>
      </w:r>
      <w:proofErr w:type="spellStart"/>
      <w:r w:rsidR="00DD1966">
        <w:t>based</w:t>
      </w:r>
      <w:proofErr w:type="spellEnd"/>
      <w:r w:rsidR="00DD1966">
        <w:t>.</w:t>
      </w:r>
    </w:p>
    <w:p w14:paraId="41538EA2" w14:textId="1C602E7F" w:rsidR="007051CC" w:rsidRDefault="00415B46" w:rsidP="00415B46">
      <w:pPr>
        <w:pStyle w:val="Nessunaspaziatura"/>
        <w:jc w:val="both"/>
      </w:pPr>
      <w:r>
        <w:t>Inoltre, come è emerso da</w:t>
      </w:r>
      <w:r w:rsidR="001553F0">
        <w:t xml:space="preserve"> una </w:t>
      </w:r>
      <w:r>
        <w:t xml:space="preserve">ricerca di mappatura </w:t>
      </w:r>
      <w:r w:rsidR="001553F0">
        <w:t xml:space="preserve">e da una ricerca descrittiva basata sull’analisi </w:t>
      </w:r>
      <w:r>
        <w:t xml:space="preserve">di focus </w:t>
      </w:r>
      <w:r w:rsidRPr="00776342">
        <w:t>group</w:t>
      </w:r>
      <w:r w:rsidR="002B0C5D" w:rsidRPr="00776342">
        <w:t xml:space="preserve"> realizzate da CEFEO</w:t>
      </w:r>
      <w:r>
        <w:t xml:space="preserve"> è spesso assente nei </w:t>
      </w:r>
      <w:proofErr w:type="spellStart"/>
      <w:r>
        <w:t>practitioners</w:t>
      </w:r>
      <w:proofErr w:type="spellEnd"/>
      <w:r>
        <w:t xml:space="preserve"> italiani coinvolti </w:t>
      </w:r>
      <w:r w:rsidR="001553F0">
        <w:t>in progetti edu</w:t>
      </w:r>
      <w:r w:rsidR="007051CC">
        <w:t xml:space="preserve">cativi </w:t>
      </w:r>
      <w:r w:rsidR="00773DA0">
        <w:t>nature-</w:t>
      </w:r>
      <w:proofErr w:type="spellStart"/>
      <w:r w:rsidR="00773DA0">
        <w:t>based</w:t>
      </w:r>
      <w:proofErr w:type="spellEnd"/>
      <w:r>
        <w:t xml:space="preserve"> una visione della valutazione di tipo </w:t>
      </w:r>
      <w:r w:rsidR="007051CC">
        <w:t>Theory-</w:t>
      </w:r>
      <w:proofErr w:type="spellStart"/>
      <w:r w:rsidR="007051CC">
        <w:t>Driven</w:t>
      </w:r>
      <w:proofErr w:type="spellEnd"/>
      <w:r w:rsidR="007051CC">
        <w:t xml:space="preserve"> </w:t>
      </w:r>
      <w:r>
        <w:t xml:space="preserve">(Chen, 2012) </w:t>
      </w:r>
      <w:r w:rsidR="00587566" w:rsidRPr="00587566">
        <w:t xml:space="preserve">in cui una o più teorie di riferimento fungono da guida nella progettazione degli interventi, consentendo di formulare obiettivi e modalità </w:t>
      </w:r>
      <w:r w:rsidR="007051CC">
        <w:t xml:space="preserve">di attuazione </w:t>
      </w:r>
      <w:r w:rsidR="00587566" w:rsidRPr="00587566">
        <w:t>che favoriscono i processi di cambiamento, prevedendo un piano di valutazione coerente con l’impianto teorico</w:t>
      </w:r>
      <w:r>
        <w:t>.</w:t>
      </w:r>
    </w:p>
    <w:p w14:paraId="3AF05555" w14:textId="0186BD24" w:rsidR="00415B46" w:rsidRDefault="007051CC" w:rsidP="00415B46">
      <w:pPr>
        <w:pStyle w:val="Nessunaspaziatura"/>
        <w:jc w:val="both"/>
      </w:pPr>
      <w:r>
        <w:t>La</w:t>
      </w:r>
      <w:r w:rsidR="00415B46">
        <w:t xml:space="preserve"> peculiarità dei progetti nature-</w:t>
      </w:r>
      <w:proofErr w:type="spellStart"/>
      <w:r w:rsidR="00415B46">
        <w:t>based</w:t>
      </w:r>
      <w:proofErr w:type="spellEnd"/>
      <w:r w:rsidR="00415B46">
        <w:t xml:space="preserve"> rend</w:t>
      </w:r>
      <w:r w:rsidR="002238A4">
        <w:t>e</w:t>
      </w:r>
      <w:r w:rsidR="00415B46">
        <w:t xml:space="preserve"> difficile applicare in modo generalizzato strumenti univoci alla molteplicità dei diversi interventi in natura</w:t>
      </w:r>
      <w:r w:rsidR="000B2AC8">
        <w:t>. Per questo motivo</w:t>
      </w:r>
      <w:r w:rsidR="00415B46">
        <w:t xml:space="preserve"> si ritiene fondamentale </w:t>
      </w:r>
      <w:r w:rsidR="000B2AC8">
        <w:t>“</w:t>
      </w:r>
      <w:r w:rsidR="00415B46">
        <w:t>individualizzare</w:t>
      </w:r>
      <w:r w:rsidR="000B2AC8">
        <w:t>”</w:t>
      </w:r>
      <w:r w:rsidR="00415B46">
        <w:t xml:space="preserve"> lo/gli strumento/</w:t>
      </w:r>
      <w:r w:rsidR="000B2AC8">
        <w:t>i</w:t>
      </w:r>
      <w:r w:rsidR="00415B46">
        <w:t xml:space="preserve"> di valutazione calandolo</w:t>
      </w:r>
      <w:r w:rsidR="002238A4">
        <w:t>/i</w:t>
      </w:r>
      <w:r w:rsidR="00415B46">
        <w:t xml:space="preserve"> ne</w:t>
      </w:r>
      <w:r w:rsidR="000B2AC8">
        <w:t>i</w:t>
      </w:r>
      <w:r w:rsidR="00415B46">
        <w:t xml:space="preserve"> singol</w:t>
      </w:r>
      <w:r w:rsidR="000B2AC8">
        <w:t>i</w:t>
      </w:r>
      <w:r w:rsidR="00415B46">
        <w:t xml:space="preserve"> contesto a partire dalle finalità e metodologie specifiche utilizzate a livello locale.</w:t>
      </w:r>
    </w:p>
    <w:p w14:paraId="31F1E623" w14:textId="4D162684" w:rsidR="00025940" w:rsidRDefault="00025940" w:rsidP="00415B46">
      <w:pPr>
        <w:pStyle w:val="Nessunaspaziatura"/>
        <w:jc w:val="both"/>
      </w:pPr>
      <w:r>
        <w:t xml:space="preserve">La necessità di indagare il tema della valutazione dei progetti in natura era emersa sia dai </w:t>
      </w:r>
      <w:proofErr w:type="spellStart"/>
      <w:r>
        <w:t>practitioners</w:t>
      </w:r>
      <w:proofErr w:type="spellEnd"/>
      <w:r>
        <w:t xml:space="preserve"> che fanno parte del Centro di ricerca CEFEO, che sin dalla nascita del centro di ricerca avevano manifestato il bisogno di comprendere come valutare efficacemente il lavoro educativo/terapeutico in natura, sia dai risultati </w:t>
      </w:r>
      <w:r w:rsidRPr="00776342">
        <w:t>d</w:t>
      </w:r>
      <w:r w:rsidR="002B0C5D" w:rsidRPr="00776342">
        <w:t>ella</w:t>
      </w:r>
      <w:r>
        <w:t xml:space="preserve"> mappatura che – tra gli altri dati – ha fatto emergere il complicato rapporto degli operatori nature-</w:t>
      </w:r>
      <w:proofErr w:type="spellStart"/>
      <w:r>
        <w:t>based</w:t>
      </w:r>
      <w:proofErr w:type="spellEnd"/>
      <w:r>
        <w:t xml:space="preserve"> con le pratiche di valutazione: nonostante se ne ravvisi la necessità, in molti dei contesti indagati non viene effettuato alcun tipo di valutazione</w:t>
      </w:r>
      <w:r w:rsidR="003C07C5">
        <w:t>,</w:t>
      </w:r>
      <w:r>
        <w:t xml:space="preserve"> e laddove venga svolta</w:t>
      </w:r>
      <w:r w:rsidR="003C07C5">
        <w:t>,</w:t>
      </w:r>
      <w:r>
        <w:t xml:space="preserve"> si tratta in molti casi di brevi questionari di gradimento </w:t>
      </w:r>
      <w:proofErr w:type="spellStart"/>
      <w:r>
        <w:t>pre</w:t>
      </w:r>
      <w:proofErr w:type="spellEnd"/>
      <w:r>
        <w:t>-post c</w:t>
      </w:r>
      <w:r w:rsidR="000B2AC8">
        <w:t>on i  limiti già sopra evidenziati.</w:t>
      </w:r>
    </w:p>
    <w:p w14:paraId="31EB28ED" w14:textId="46D91BB1" w:rsidR="00415B46" w:rsidRDefault="00415B46" w:rsidP="00956D18">
      <w:pPr>
        <w:pStyle w:val="Nessunaspaziatura"/>
        <w:jc w:val="both"/>
      </w:pPr>
      <w:r>
        <w:t>Alla luce della analisi della letteratura, il macro-progetto</w:t>
      </w:r>
      <w:r w:rsidR="00C13341">
        <w:t xml:space="preserve"> “</w:t>
      </w:r>
      <w:r w:rsidR="00C13341" w:rsidRPr="00C13341">
        <w:t>Monitoraggio sulle pratiche di valutazione nei progetti educativi, terapeutici e formativi nature-</w:t>
      </w:r>
      <w:proofErr w:type="spellStart"/>
      <w:r w:rsidR="00C13341" w:rsidRPr="00C13341">
        <w:t>based</w:t>
      </w:r>
      <w:proofErr w:type="spellEnd"/>
      <w:r w:rsidR="00C13341">
        <w:t>” (</w:t>
      </w:r>
      <w:hyperlink r:id="rId8" w:history="1">
        <w:r w:rsidR="00C13341" w:rsidRPr="007E66F8">
          <w:rPr>
            <w:rStyle w:val="Collegamentoipertestuale"/>
          </w:rPr>
          <w:t>https://centri.unibo.it/cefeo/it/partnership</w:t>
        </w:r>
      </w:hyperlink>
      <w:r w:rsidR="00C13341">
        <w:t>) realizzato da alcuni ricercatori del CEFEO</w:t>
      </w:r>
      <w:r w:rsidR="003C07C5">
        <w:t>,</w:t>
      </w:r>
      <w:r>
        <w:t xml:space="preserve"> nel quale il presente progetto</w:t>
      </w:r>
      <w:r w:rsidR="003C07C5">
        <w:t xml:space="preserve"> per l’assegno di ricerca</w:t>
      </w:r>
      <w:r>
        <w:t xml:space="preserve"> si inserisce</w:t>
      </w:r>
      <w:r w:rsidR="003C07C5">
        <w:t>,</w:t>
      </w:r>
      <w:r>
        <w:t xml:space="preserve"> ha la finalità di m</w:t>
      </w:r>
      <w:r w:rsidRPr="00BE7A74">
        <w:t>onitorare le modalità di valutazione utilizzate dalle diverse realtà professionali che utilizzano la natura come setting educativo/terapeutico</w:t>
      </w:r>
      <w:r>
        <w:t>, per poi s</w:t>
      </w:r>
      <w:r w:rsidRPr="00BE7A74">
        <w:t>timolare negli operatori la riflessione sulla propria pratica professionale</w:t>
      </w:r>
      <w:r>
        <w:t xml:space="preserve">. </w:t>
      </w:r>
      <w:r w:rsidR="00C13341">
        <w:t xml:space="preserve">La macro-ricerca ha anche l’obiettivo di adattare </w:t>
      </w:r>
      <w:r w:rsidR="00587566">
        <w:t xml:space="preserve">strumenti esistenti e/o </w:t>
      </w:r>
      <w:r>
        <w:t>c</w:t>
      </w:r>
      <w:r w:rsidRPr="00BE7A74">
        <w:t xml:space="preserve">o-costruire </w:t>
      </w:r>
      <w:r w:rsidR="00587566">
        <w:t xml:space="preserve">bottom-up </w:t>
      </w:r>
      <w:r w:rsidRPr="00BE7A74">
        <w:t>strumenti di valutazione</w:t>
      </w:r>
      <w:r w:rsidR="00587566">
        <w:t xml:space="preserve"> che siano</w:t>
      </w:r>
      <w:r w:rsidRPr="00BE7A74">
        <w:t xml:space="preserve"> theory-</w:t>
      </w:r>
      <w:proofErr w:type="spellStart"/>
      <w:r w:rsidRPr="00BE7A74">
        <w:t>driven</w:t>
      </w:r>
      <w:proofErr w:type="spellEnd"/>
      <w:r w:rsidRPr="00BE7A74">
        <w:t xml:space="preserve"> e basati sulle esigenze e caratteristiche dei singoli contesti, che siano in grado di cogliere sia gli effetti sia i processi dei progetti in natura</w:t>
      </w:r>
      <w:r>
        <w:t>, sviluppando in questo modo</w:t>
      </w:r>
      <w:r w:rsidRPr="00BE7A74">
        <w:t xml:space="preserve"> conoscenze e competenze progettuali e valutative negli operatori nature-</w:t>
      </w:r>
      <w:proofErr w:type="spellStart"/>
      <w:r w:rsidRPr="00BE7A74">
        <w:t>based</w:t>
      </w:r>
      <w:proofErr w:type="spellEnd"/>
      <w:r>
        <w:t>.</w:t>
      </w:r>
    </w:p>
    <w:p w14:paraId="49CD1460" w14:textId="77777777" w:rsidR="00025940" w:rsidRPr="00025940" w:rsidRDefault="00025940" w:rsidP="00956D18">
      <w:pPr>
        <w:pStyle w:val="Nessunaspaziatura"/>
        <w:jc w:val="both"/>
      </w:pPr>
    </w:p>
    <w:p w14:paraId="7305D0C7" w14:textId="5559CC39" w:rsidR="00956D18" w:rsidRPr="003536EC" w:rsidRDefault="00956D18" w:rsidP="00956D18">
      <w:pPr>
        <w:pStyle w:val="Nessunaspaziatura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Fasi preliminari della </w:t>
      </w:r>
      <w:r w:rsidR="00025940">
        <w:rPr>
          <w:b/>
          <w:bCs/>
          <w:i/>
          <w:iCs/>
        </w:rPr>
        <w:t>macro-ricerca</w:t>
      </w:r>
      <w:r>
        <w:rPr>
          <w:b/>
          <w:bCs/>
          <w:i/>
          <w:iCs/>
        </w:rPr>
        <w:t xml:space="preserve"> 2019-2022 (concluse)</w:t>
      </w:r>
    </w:p>
    <w:p w14:paraId="412755FC" w14:textId="3FAFEF49" w:rsidR="00956D18" w:rsidRDefault="00956D18" w:rsidP="00956D18">
      <w:pPr>
        <w:pStyle w:val="Nessunaspaziatura"/>
        <w:jc w:val="both"/>
      </w:pPr>
      <w:r>
        <w:t>La ricerca prende le mosse da una rilevazione iniziata nel 2017-2018 del centro CEFEO che è risultata in una mappatura delle realtà italiane che lavorano propongono progetti in natura in ambito extrascolastico (socio-educativo; terapeutico; ricreativo, tempo libero, animazione; didattico; formativo; sportivo).</w:t>
      </w:r>
    </w:p>
    <w:p w14:paraId="1D1A6969" w14:textId="4EBF4E42" w:rsidR="00956D18" w:rsidRDefault="00956D18" w:rsidP="00956D18">
      <w:pPr>
        <w:pStyle w:val="Nessunaspaziatura"/>
        <w:jc w:val="both"/>
      </w:pPr>
      <w:r>
        <w:t>Tale mappatura è stata il punto di partenza per un secondo step di ricerca avviato nel 2019 con l’obiettivo di analizzare metodologie e strumenti utilizzati per la valutazione degli interventi nature-</w:t>
      </w:r>
      <w:proofErr w:type="spellStart"/>
      <w:r>
        <w:t>based</w:t>
      </w:r>
      <w:proofErr w:type="spellEnd"/>
      <w:r>
        <w:t xml:space="preserve"> dagli operatori che lavorano nell’ambito. </w:t>
      </w:r>
    </w:p>
    <w:p w14:paraId="194A91DA" w14:textId="16B51D5D" w:rsidR="00956D18" w:rsidRDefault="00956D18" w:rsidP="00956D18">
      <w:pPr>
        <w:pStyle w:val="Nessunaspaziatura"/>
        <w:jc w:val="both"/>
      </w:pPr>
      <w:r>
        <w:t xml:space="preserve">Dato il bisogno e l’interesse ad approfondire il tema, la ricerca è proseguita con l’attuazione di sei focus group condotti dai ricercatori di CEFEO e che hanno coinvolto gruppi di </w:t>
      </w:r>
      <w:proofErr w:type="spellStart"/>
      <w:r>
        <w:t>practitioners</w:t>
      </w:r>
      <w:proofErr w:type="spellEnd"/>
      <w:r>
        <w:t xml:space="preserve"> nature-</w:t>
      </w:r>
      <w:proofErr w:type="spellStart"/>
      <w:r>
        <w:t>based</w:t>
      </w:r>
      <w:proofErr w:type="spellEnd"/>
      <w:r>
        <w:t xml:space="preserve">, con la finalità di indagare sia le rappresentazioni sia i bisogni circa la progettazione e la valutazione dei progetti in natura. Dai focus group sono emerse riflessioni interessanti riguardanti i dispositivi pedagogici che caratterizzano i progetti in natura, oltre che le condizioni necessarie per attuarli; inoltre, i focus group sono stati anche un importante momento di confronto all’interno di ciascuna equipe che ha permesso la condivisione e l’esplicitazione delle motivazioni e delle finalità </w:t>
      </w:r>
      <w:r>
        <w:lastRenderedPageBreak/>
        <w:t>che muovono il desiderio di avere strumenti di valutazione efficaci, riflettendo su come/chi/cosa/per chi/perché valutare.</w:t>
      </w:r>
    </w:p>
    <w:p w14:paraId="5CCA0E38" w14:textId="4B61821A" w:rsidR="00956D18" w:rsidRDefault="00956D18" w:rsidP="00956D18">
      <w:pPr>
        <w:pStyle w:val="Nessunaspaziatura"/>
        <w:jc w:val="both"/>
      </w:pPr>
      <w:r>
        <w:t>A partire dai risultati de</w:t>
      </w:r>
      <w:r w:rsidR="00C13341">
        <w:t>lle</w:t>
      </w:r>
      <w:r>
        <w:t xml:space="preserve"> precedenti </w:t>
      </w:r>
      <w:r w:rsidR="00C13341">
        <w:t>fasi</w:t>
      </w:r>
      <w:r>
        <w:t xml:space="preserve"> di ricerca e dall’analisi della letteratura, è iniziato un </w:t>
      </w:r>
      <w:r w:rsidR="00C13341">
        <w:t>percorso</w:t>
      </w:r>
      <w:r>
        <w:t xml:space="preserve"> di ricerca partecipata finalizzata alla co-costruzione di strumenti in grado di cogliere sia gli effetti dei programmi</w:t>
      </w:r>
      <w:r w:rsidR="00C13341">
        <w:t>,</w:t>
      </w:r>
      <w:r>
        <w:t xml:space="preserve"> sia il processo (Chen, 2012). </w:t>
      </w:r>
    </w:p>
    <w:p w14:paraId="4E9052C2" w14:textId="77777777" w:rsidR="00956D18" w:rsidRDefault="00956D18" w:rsidP="00956D18">
      <w:pPr>
        <w:pStyle w:val="Nessunaspaziatura"/>
        <w:jc w:val="both"/>
      </w:pPr>
      <w:r>
        <w:t xml:space="preserve">Il gruppo di ricercatori ha lavorato con quattro team di professionisti, costruendo, attraverso un processo bottom-up </w:t>
      </w:r>
      <w:r w:rsidRPr="00885F76">
        <w:t>(</w:t>
      </w:r>
      <w:proofErr w:type="spellStart"/>
      <w:r w:rsidRPr="00885F76">
        <w:t>Bastianoni</w:t>
      </w:r>
      <w:proofErr w:type="spellEnd"/>
      <w:r w:rsidRPr="00885F76">
        <w:t xml:space="preserve"> &amp; Zullo, 2012; Le </w:t>
      </w:r>
      <w:proofErr w:type="spellStart"/>
      <w:r w:rsidRPr="00885F76">
        <w:t>Poultier</w:t>
      </w:r>
      <w:proofErr w:type="spellEnd"/>
      <w:r w:rsidRPr="00885F76">
        <w:t xml:space="preserve">, 1990; Le </w:t>
      </w:r>
      <w:proofErr w:type="spellStart"/>
      <w:r w:rsidRPr="00885F76">
        <w:t>Poultier</w:t>
      </w:r>
      <w:proofErr w:type="spellEnd"/>
      <w:r w:rsidRPr="00885F76">
        <w:t xml:space="preserve"> e </w:t>
      </w:r>
      <w:proofErr w:type="spellStart"/>
      <w:r w:rsidRPr="00885F76">
        <w:t>Guingouain</w:t>
      </w:r>
      <w:proofErr w:type="spellEnd"/>
      <w:r w:rsidRPr="00885F76">
        <w:t>, 1996)</w:t>
      </w:r>
      <w:r>
        <w:t>, diversi strumenti di osservazione/monitoraggio/documentazione/valutazione dei diversi progetti in natura portati avanti dai professionisti coinvolti. I tipi di strumenti realizzati/adattati sono diversi tra loro, sia nelle finalità che nella struttura, in quanto sono stati creati specificatamente sulle caratteristiche e le esigenze di ciascun progetto.</w:t>
      </w:r>
    </w:p>
    <w:p w14:paraId="4766BC0C" w14:textId="77777777" w:rsidR="00792769" w:rsidRDefault="00792769" w:rsidP="00956D18">
      <w:pPr>
        <w:pStyle w:val="Nessunaspaziatura"/>
        <w:jc w:val="both"/>
      </w:pPr>
    </w:p>
    <w:p w14:paraId="11ED2319" w14:textId="03052C06" w:rsidR="008A5AE8" w:rsidRDefault="008A5AE8" w:rsidP="00956D18">
      <w:pPr>
        <w:pStyle w:val="Nessunaspaziatura"/>
        <w:jc w:val="both"/>
      </w:pPr>
      <w:r>
        <w:t>Di seguito si riporta una sintesi delle caratteristiche dei</w:t>
      </w:r>
      <w:r w:rsidR="00792769">
        <w:t xml:space="preserve"> partner</w:t>
      </w:r>
      <w:r>
        <w:t xml:space="preserve"> coinvolti nel processo di co-costruzione</w:t>
      </w:r>
      <w:r w:rsidR="00792769">
        <w:t xml:space="preserve"> e dei loro progetti</w:t>
      </w:r>
      <w:r>
        <w:t>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2833"/>
        <w:gridCol w:w="2406"/>
        <w:gridCol w:w="1341"/>
        <w:gridCol w:w="2055"/>
      </w:tblGrid>
      <w:tr w:rsidR="008A5AE8" w:rsidRPr="00587566" w14:paraId="6B5FABBB" w14:textId="7044F42E" w:rsidTr="00B614FF">
        <w:tc>
          <w:tcPr>
            <w:tcW w:w="513" w:type="pct"/>
            <w:shd w:val="clear" w:color="auto" w:fill="auto"/>
          </w:tcPr>
          <w:p w14:paraId="4DCA326A" w14:textId="77777777" w:rsidR="008A5AE8" w:rsidRPr="00587566" w:rsidRDefault="008A5AE8" w:rsidP="00587566">
            <w:pPr>
              <w:pStyle w:val="Nessunaspaziatura"/>
              <w:jc w:val="both"/>
              <w:rPr>
                <w:b/>
                <w:bCs/>
              </w:rPr>
            </w:pPr>
            <w:r w:rsidRPr="00587566">
              <w:rPr>
                <w:b/>
                <w:bCs/>
              </w:rPr>
              <w:t>Ente</w:t>
            </w:r>
          </w:p>
        </w:tc>
        <w:tc>
          <w:tcPr>
            <w:tcW w:w="1472" w:type="pct"/>
            <w:shd w:val="clear" w:color="auto" w:fill="auto"/>
          </w:tcPr>
          <w:p w14:paraId="3E2E89FC" w14:textId="77777777" w:rsidR="008A5AE8" w:rsidRPr="00587566" w:rsidRDefault="008A5AE8" w:rsidP="00587566">
            <w:pPr>
              <w:pStyle w:val="Nessunaspaziatura"/>
              <w:jc w:val="both"/>
              <w:rPr>
                <w:b/>
                <w:bCs/>
              </w:rPr>
            </w:pPr>
            <w:r w:rsidRPr="00587566">
              <w:rPr>
                <w:b/>
                <w:bCs/>
              </w:rPr>
              <w:t>Utenza</w:t>
            </w:r>
          </w:p>
        </w:tc>
        <w:tc>
          <w:tcPr>
            <w:tcW w:w="1250" w:type="pct"/>
            <w:shd w:val="clear" w:color="auto" w:fill="auto"/>
          </w:tcPr>
          <w:p w14:paraId="1A7067C9" w14:textId="77777777" w:rsidR="008A5AE8" w:rsidRPr="00587566" w:rsidRDefault="008A5AE8" w:rsidP="00587566">
            <w:pPr>
              <w:pStyle w:val="Nessunaspaziatura"/>
              <w:jc w:val="both"/>
              <w:rPr>
                <w:b/>
                <w:bCs/>
              </w:rPr>
            </w:pPr>
            <w:r w:rsidRPr="00587566">
              <w:rPr>
                <w:b/>
                <w:bCs/>
              </w:rPr>
              <w:t>Ambiente/attività</w:t>
            </w:r>
          </w:p>
        </w:tc>
        <w:tc>
          <w:tcPr>
            <w:tcW w:w="697" w:type="pct"/>
            <w:shd w:val="clear" w:color="auto" w:fill="auto"/>
          </w:tcPr>
          <w:p w14:paraId="654A3853" w14:textId="77777777" w:rsidR="008A5AE8" w:rsidRPr="00587566" w:rsidRDefault="008A5AE8" w:rsidP="00587566">
            <w:pPr>
              <w:pStyle w:val="Nessunaspaziatura"/>
              <w:jc w:val="both"/>
              <w:rPr>
                <w:b/>
                <w:bCs/>
              </w:rPr>
            </w:pPr>
            <w:r w:rsidRPr="00587566">
              <w:rPr>
                <w:b/>
                <w:bCs/>
              </w:rPr>
              <w:t xml:space="preserve">Operatori </w:t>
            </w:r>
          </w:p>
        </w:tc>
        <w:tc>
          <w:tcPr>
            <w:tcW w:w="1068" w:type="pct"/>
          </w:tcPr>
          <w:p w14:paraId="20586A0C" w14:textId="2F87C759" w:rsidR="008A5AE8" w:rsidRPr="00587566" w:rsidRDefault="008A5AE8" w:rsidP="00587566">
            <w:pPr>
              <w:pStyle w:val="Nessunaspaziatur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Strumento/i co-costruito</w:t>
            </w:r>
          </w:p>
        </w:tc>
      </w:tr>
      <w:tr w:rsidR="008A5AE8" w:rsidRPr="00587566" w14:paraId="76BBA93E" w14:textId="7AE90009" w:rsidTr="00B614FF">
        <w:tc>
          <w:tcPr>
            <w:tcW w:w="513" w:type="pct"/>
            <w:shd w:val="clear" w:color="auto" w:fill="auto"/>
          </w:tcPr>
          <w:p w14:paraId="504C0E22" w14:textId="5FEBAC45" w:rsidR="008A5AE8" w:rsidRPr="00587566" w:rsidRDefault="008A5AE8" w:rsidP="00587566">
            <w:pPr>
              <w:pStyle w:val="Nessunaspaziatura"/>
              <w:jc w:val="both"/>
            </w:pPr>
            <w:r>
              <w:t>1 LA C</w:t>
            </w:r>
            <w:r w:rsidR="00792769">
              <w:t>.</w:t>
            </w:r>
          </w:p>
        </w:tc>
        <w:tc>
          <w:tcPr>
            <w:tcW w:w="1472" w:type="pct"/>
            <w:shd w:val="clear" w:color="auto" w:fill="auto"/>
          </w:tcPr>
          <w:p w14:paraId="30021F09" w14:textId="2E6E6995" w:rsidR="008A5AE8" w:rsidRPr="00587566" w:rsidRDefault="008A5AE8" w:rsidP="00587566">
            <w:pPr>
              <w:pStyle w:val="Nessunaspaziatura"/>
              <w:jc w:val="both"/>
            </w:pPr>
            <w:r w:rsidRPr="00587566">
              <w:t>Ragazzi/e a rischio di ritiro sociale</w:t>
            </w:r>
            <w:r>
              <w:t xml:space="preserve"> (raggiunti tramite servizi sociali e/o scuola)</w:t>
            </w:r>
          </w:p>
        </w:tc>
        <w:tc>
          <w:tcPr>
            <w:tcW w:w="1250" w:type="pct"/>
            <w:shd w:val="clear" w:color="auto" w:fill="auto"/>
          </w:tcPr>
          <w:p w14:paraId="5C6D6EFD" w14:textId="458E3E1D" w:rsidR="008A5AE8" w:rsidRPr="00587566" w:rsidRDefault="008A5AE8" w:rsidP="00587566">
            <w:pPr>
              <w:pStyle w:val="Nessunaspaziatura"/>
              <w:jc w:val="both"/>
            </w:pPr>
            <w:r w:rsidRPr="00587566">
              <w:t xml:space="preserve">Uscite nel weekend </w:t>
            </w:r>
            <w:r>
              <w:t>di trekking in</w:t>
            </w:r>
            <w:r w:rsidRPr="00587566">
              <w:t xml:space="preserve"> montagna, grotta</w:t>
            </w:r>
            <w:r>
              <w:t>…</w:t>
            </w:r>
            <w:r w:rsidRPr="00587566">
              <w:t xml:space="preserve"> </w:t>
            </w:r>
            <w:proofErr w:type="spellStart"/>
            <w:r w:rsidRPr="00587566">
              <w:t>ecc</w:t>
            </w:r>
            <w:proofErr w:type="spellEnd"/>
          </w:p>
        </w:tc>
        <w:tc>
          <w:tcPr>
            <w:tcW w:w="697" w:type="pct"/>
            <w:shd w:val="clear" w:color="auto" w:fill="auto"/>
          </w:tcPr>
          <w:p w14:paraId="6D47CE21" w14:textId="77777777" w:rsidR="008A5AE8" w:rsidRPr="00587566" w:rsidRDefault="008A5AE8" w:rsidP="00587566">
            <w:pPr>
              <w:pStyle w:val="Nessunaspaziatura"/>
              <w:jc w:val="both"/>
            </w:pPr>
            <w:r w:rsidRPr="00587566">
              <w:t>Educatori ad hoc per questo progetto</w:t>
            </w:r>
          </w:p>
        </w:tc>
        <w:tc>
          <w:tcPr>
            <w:tcW w:w="1068" w:type="pct"/>
          </w:tcPr>
          <w:p w14:paraId="57B34384" w14:textId="5D6CCEF2" w:rsidR="008A5AE8" w:rsidRPr="00587566" w:rsidRDefault="008A5AE8" w:rsidP="00587566">
            <w:pPr>
              <w:pStyle w:val="Nessunaspaziatura"/>
              <w:jc w:val="both"/>
            </w:pPr>
            <w:r>
              <w:t xml:space="preserve">Schede di osservazione delle dinamiche di gruppo </w:t>
            </w:r>
          </w:p>
        </w:tc>
      </w:tr>
      <w:tr w:rsidR="008A5AE8" w:rsidRPr="00587566" w14:paraId="21E4827A" w14:textId="13320EAD" w:rsidTr="00B614FF">
        <w:tc>
          <w:tcPr>
            <w:tcW w:w="513" w:type="pct"/>
            <w:shd w:val="clear" w:color="auto" w:fill="auto"/>
          </w:tcPr>
          <w:p w14:paraId="1858A709" w14:textId="10BC4A69" w:rsidR="008A5AE8" w:rsidRPr="00587566" w:rsidRDefault="008A5AE8" w:rsidP="00587566">
            <w:pPr>
              <w:pStyle w:val="Nessunaspaziatura"/>
              <w:jc w:val="both"/>
            </w:pPr>
            <w:r>
              <w:t>2 C.F.</w:t>
            </w:r>
          </w:p>
        </w:tc>
        <w:tc>
          <w:tcPr>
            <w:tcW w:w="1472" w:type="pct"/>
            <w:shd w:val="clear" w:color="auto" w:fill="auto"/>
          </w:tcPr>
          <w:p w14:paraId="17320C9B" w14:textId="5356E0DC" w:rsidR="008A5AE8" w:rsidRPr="00587566" w:rsidRDefault="008A5AE8" w:rsidP="00587566">
            <w:pPr>
              <w:pStyle w:val="Nessunaspaziatura"/>
              <w:jc w:val="both"/>
            </w:pPr>
            <w:r>
              <w:t>Soggetti con dipendenze patologiche e/o problemi di salute mentale residenti in comunità o pazienti del COD</w:t>
            </w:r>
          </w:p>
        </w:tc>
        <w:tc>
          <w:tcPr>
            <w:tcW w:w="1250" w:type="pct"/>
            <w:shd w:val="clear" w:color="auto" w:fill="auto"/>
          </w:tcPr>
          <w:p w14:paraId="761A54F2" w14:textId="7D69F26A" w:rsidR="008A5AE8" w:rsidRPr="00587566" w:rsidRDefault="008A5AE8" w:rsidP="00587566">
            <w:pPr>
              <w:pStyle w:val="Nessunaspaziatura"/>
              <w:jc w:val="both"/>
            </w:pPr>
            <w:r w:rsidRPr="00587566">
              <w:t xml:space="preserve">Settimana </w:t>
            </w:r>
            <w:r>
              <w:t xml:space="preserve">di </w:t>
            </w:r>
            <w:proofErr w:type="spellStart"/>
            <w:r>
              <w:t>velaterapia</w:t>
            </w:r>
            <w:proofErr w:type="spellEnd"/>
            <w:r>
              <w:t xml:space="preserve"> durante l’estate</w:t>
            </w:r>
          </w:p>
        </w:tc>
        <w:tc>
          <w:tcPr>
            <w:tcW w:w="697" w:type="pct"/>
            <w:shd w:val="clear" w:color="auto" w:fill="auto"/>
          </w:tcPr>
          <w:p w14:paraId="6B39C26B" w14:textId="77777777" w:rsidR="008A5AE8" w:rsidRPr="00587566" w:rsidRDefault="008A5AE8" w:rsidP="00587566">
            <w:pPr>
              <w:pStyle w:val="Nessunaspaziatura"/>
              <w:jc w:val="both"/>
            </w:pPr>
            <w:r w:rsidRPr="00587566">
              <w:t>Alcuni operatori della comunità</w:t>
            </w:r>
          </w:p>
        </w:tc>
        <w:tc>
          <w:tcPr>
            <w:tcW w:w="1068" w:type="pct"/>
          </w:tcPr>
          <w:p w14:paraId="0269AFA9" w14:textId="262C8A9C" w:rsidR="008A5AE8" w:rsidRPr="00587566" w:rsidRDefault="008A5AE8" w:rsidP="00587566">
            <w:pPr>
              <w:pStyle w:val="Nessunaspaziatura"/>
              <w:jc w:val="both"/>
            </w:pPr>
            <w:r>
              <w:t>Questionario composto da più scale</w:t>
            </w:r>
          </w:p>
        </w:tc>
      </w:tr>
      <w:tr w:rsidR="008A5AE8" w:rsidRPr="00587566" w14:paraId="0D151EF3" w14:textId="2B848B56" w:rsidTr="00B614FF">
        <w:tc>
          <w:tcPr>
            <w:tcW w:w="513" w:type="pct"/>
            <w:shd w:val="clear" w:color="auto" w:fill="auto"/>
          </w:tcPr>
          <w:p w14:paraId="566E42AF" w14:textId="15655C43" w:rsidR="008A5AE8" w:rsidRPr="00587566" w:rsidRDefault="008A5AE8" w:rsidP="00587566">
            <w:pPr>
              <w:pStyle w:val="Nessunaspaziatura"/>
              <w:jc w:val="both"/>
            </w:pPr>
            <w:r>
              <w:t>3 CS.</w:t>
            </w:r>
          </w:p>
        </w:tc>
        <w:tc>
          <w:tcPr>
            <w:tcW w:w="1472" w:type="pct"/>
            <w:shd w:val="clear" w:color="auto" w:fill="auto"/>
          </w:tcPr>
          <w:p w14:paraId="524286C5" w14:textId="77777777" w:rsidR="008A5AE8" w:rsidRPr="00587566" w:rsidRDefault="008A5AE8" w:rsidP="00587566">
            <w:pPr>
              <w:pStyle w:val="Nessunaspaziatura"/>
              <w:jc w:val="both"/>
            </w:pPr>
            <w:r w:rsidRPr="00587566">
              <w:t>Ragazze minori in gruppo appartamento</w:t>
            </w:r>
          </w:p>
        </w:tc>
        <w:tc>
          <w:tcPr>
            <w:tcW w:w="1250" w:type="pct"/>
            <w:shd w:val="clear" w:color="auto" w:fill="auto"/>
          </w:tcPr>
          <w:p w14:paraId="5D3923BC" w14:textId="77777777" w:rsidR="008A5AE8" w:rsidRPr="00587566" w:rsidRDefault="008A5AE8" w:rsidP="00587566">
            <w:pPr>
              <w:pStyle w:val="Nessunaspaziatura"/>
              <w:jc w:val="both"/>
            </w:pPr>
            <w:r w:rsidRPr="00587566">
              <w:t xml:space="preserve">Uscite nel weekend in montagna, grotta </w:t>
            </w:r>
            <w:proofErr w:type="spellStart"/>
            <w:r w:rsidRPr="00587566">
              <w:t>ecc</w:t>
            </w:r>
            <w:proofErr w:type="spellEnd"/>
          </w:p>
        </w:tc>
        <w:tc>
          <w:tcPr>
            <w:tcW w:w="697" w:type="pct"/>
            <w:shd w:val="clear" w:color="auto" w:fill="auto"/>
          </w:tcPr>
          <w:p w14:paraId="741CB9E9" w14:textId="77777777" w:rsidR="008A5AE8" w:rsidRPr="00587566" w:rsidRDefault="008A5AE8" w:rsidP="00587566">
            <w:pPr>
              <w:pStyle w:val="Nessunaspaziatura"/>
              <w:jc w:val="both"/>
            </w:pPr>
            <w:r w:rsidRPr="00587566">
              <w:t>Alcuni operatori della comunità</w:t>
            </w:r>
          </w:p>
        </w:tc>
        <w:tc>
          <w:tcPr>
            <w:tcW w:w="1068" w:type="pct"/>
          </w:tcPr>
          <w:p w14:paraId="16E22AC7" w14:textId="75D90AB0" w:rsidR="008A5AE8" w:rsidRPr="00587566" w:rsidRDefault="008A5AE8" w:rsidP="00587566">
            <w:pPr>
              <w:pStyle w:val="Nessunaspaziatura"/>
              <w:jc w:val="both"/>
            </w:pPr>
            <w:r>
              <w:t xml:space="preserve">Schede di osservazione delle dinamiche di gruppo </w:t>
            </w:r>
          </w:p>
        </w:tc>
      </w:tr>
      <w:tr w:rsidR="008A5AE8" w:rsidRPr="00587566" w14:paraId="229A1506" w14:textId="7D8FD82D" w:rsidTr="00B614FF">
        <w:tc>
          <w:tcPr>
            <w:tcW w:w="513" w:type="pct"/>
            <w:shd w:val="clear" w:color="auto" w:fill="auto"/>
          </w:tcPr>
          <w:p w14:paraId="7E511B21" w14:textId="19DB5E81" w:rsidR="008A5AE8" w:rsidRPr="00587566" w:rsidRDefault="008A5AE8" w:rsidP="00587566">
            <w:pPr>
              <w:pStyle w:val="Nessunaspaziatura"/>
              <w:jc w:val="both"/>
            </w:pPr>
            <w:r>
              <w:t>4 EQ.</w:t>
            </w:r>
          </w:p>
        </w:tc>
        <w:tc>
          <w:tcPr>
            <w:tcW w:w="1472" w:type="pct"/>
            <w:shd w:val="clear" w:color="auto" w:fill="auto"/>
          </w:tcPr>
          <w:p w14:paraId="41CB9560" w14:textId="30E4835F" w:rsidR="008A5AE8" w:rsidRPr="00587566" w:rsidRDefault="008A5AE8" w:rsidP="00587566">
            <w:pPr>
              <w:pStyle w:val="Nessunaspaziatura"/>
              <w:jc w:val="both"/>
            </w:pPr>
            <w:r w:rsidRPr="00587566">
              <w:t>Donne in comunità madre-bambino</w:t>
            </w:r>
            <w:r>
              <w:t>; minori in comunità</w:t>
            </w:r>
          </w:p>
        </w:tc>
        <w:tc>
          <w:tcPr>
            <w:tcW w:w="1250" w:type="pct"/>
            <w:shd w:val="clear" w:color="auto" w:fill="auto"/>
          </w:tcPr>
          <w:p w14:paraId="3A2E552C" w14:textId="1B837BEF" w:rsidR="008A5AE8" w:rsidRPr="00587566" w:rsidRDefault="008A5AE8" w:rsidP="00587566">
            <w:pPr>
              <w:pStyle w:val="Nessunaspaziatura"/>
              <w:jc w:val="both"/>
            </w:pPr>
            <w:r w:rsidRPr="00587566">
              <w:t>Uscite nel weekend</w:t>
            </w:r>
            <w:r>
              <w:t xml:space="preserve"> e/o settimane di trekking</w:t>
            </w:r>
            <w:r w:rsidRPr="00587566">
              <w:t xml:space="preserve"> in montagna</w:t>
            </w:r>
            <w:r>
              <w:t xml:space="preserve">, arrampicata… </w:t>
            </w:r>
            <w:proofErr w:type="spellStart"/>
            <w:r>
              <w:t>ecc</w:t>
            </w:r>
            <w:proofErr w:type="spellEnd"/>
          </w:p>
        </w:tc>
        <w:tc>
          <w:tcPr>
            <w:tcW w:w="697" w:type="pct"/>
            <w:shd w:val="clear" w:color="auto" w:fill="auto"/>
          </w:tcPr>
          <w:p w14:paraId="1E8655E6" w14:textId="77777777" w:rsidR="008A5AE8" w:rsidRPr="00587566" w:rsidRDefault="008A5AE8" w:rsidP="00587566">
            <w:pPr>
              <w:pStyle w:val="Nessunaspaziatura"/>
              <w:jc w:val="both"/>
            </w:pPr>
            <w:r w:rsidRPr="00587566">
              <w:t>Educatori ad hoc per questo progetto</w:t>
            </w:r>
          </w:p>
        </w:tc>
        <w:tc>
          <w:tcPr>
            <w:tcW w:w="1068" w:type="pct"/>
          </w:tcPr>
          <w:p w14:paraId="126525EB" w14:textId="366BC77D" w:rsidR="008A5AE8" w:rsidRPr="00587566" w:rsidRDefault="008A5AE8" w:rsidP="00587566">
            <w:pPr>
              <w:pStyle w:val="Nessunaspaziatura"/>
              <w:jc w:val="both"/>
            </w:pPr>
            <w:r>
              <w:t>Triplice strumento quali-quantitativo</w:t>
            </w:r>
          </w:p>
        </w:tc>
      </w:tr>
    </w:tbl>
    <w:p w14:paraId="79C5156D" w14:textId="77777777" w:rsidR="00587566" w:rsidRDefault="00587566" w:rsidP="00956D18">
      <w:pPr>
        <w:pStyle w:val="Nessunaspaziatura"/>
        <w:jc w:val="both"/>
      </w:pPr>
    </w:p>
    <w:p w14:paraId="1E247CDB" w14:textId="60068B34" w:rsidR="00956D18" w:rsidRDefault="00956D18" w:rsidP="00956D18">
      <w:pPr>
        <w:pStyle w:val="Nessunaspaziatura"/>
        <w:jc w:val="both"/>
      </w:pPr>
      <w:r>
        <w:t xml:space="preserve">Gli strumenti co-costruiti </w:t>
      </w:r>
      <w:r w:rsidR="006B1D22">
        <w:t>consistono in</w:t>
      </w:r>
      <w:r>
        <w:t>:</w:t>
      </w:r>
    </w:p>
    <w:p w14:paraId="78D6A4AA" w14:textId="76173110" w:rsidR="00956D18" w:rsidRDefault="00956D18" w:rsidP="00B614FF">
      <w:pPr>
        <w:pStyle w:val="Paragrafoelenco"/>
        <w:numPr>
          <w:ilvl w:val="0"/>
          <w:numId w:val="5"/>
        </w:numPr>
        <w:tabs>
          <w:tab w:val="center" w:pos="284"/>
        </w:tabs>
        <w:ind w:left="0" w:firstLine="0"/>
        <w:jc w:val="both"/>
      </w:pPr>
      <w:r>
        <w:t>Schede di osservazione;</w:t>
      </w:r>
    </w:p>
    <w:p w14:paraId="569067A1" w14:textId="3ABBCA6C" w:rsidR="00025940" w:rsidRDefault="00956D18" w:rsidP="00B614FF">
      <w:pPr>
        <w:pStyle w:val="Paragrafoelenco"/>
        <w:numPr>
          <w:ilvl w:val="0"/>
          <w:numId w:val="5"/>
        </w:numPr>
        <w:tabs>
          <w:tab w:val="center" w:pos="284"/>
        </w:tabs>
        <w:ind w:left="0" w:firstLine="0"/>
        <w:jc w:val="both"/>
      </w:pPr>
      <w:r>
        <w:t xml:space="preserve">Questionari </w:t>
      </w:r>
      <w:proofErr w:type="spellStart"/>
      <w:r>
        <w:t>pre</w:t>
      </w:r>
      <w:proofErr w:type="spellEnd"/>
      <w:r>
        <w:t>, post e follow-up</w:t>
      </w:r>
      <w:r w:rsidR="006B1D22">
        <w:t>;</w:t>
      </w:r>
    </w:p>
    <w:p w14:paraId="5E27714B" w14:textId="12AFD4A5" w:rsidR="00956D18" w:rsidRDefault="006B1D22" w:rsidP="00B614FF">
      <w:pPr>
        <w:pStyle w:val="Paragrafoelenco"/>
        <w:numPr>
          <w:ilvl w:val="0"/>
          <w:numId w:val="5"/>
        </w:numPr>
        <w:tabs>
          <w:tab w:val="center" w:pos="284"/>
        </w:tabs>
        <w:ind w:left="0" w:firstLine="0"/>
        <w:jc w:val="both"/>
      </w:pPr>
      <w:r>
        <w:t xml:space="preserve">Strumenti per rilevazioni qualitative (stimoli visivi, </w:t>
      </w:r>
      <w:r w:rsidR="00956D18">
        <w:t>fotografie</w:t>
      </w:r>
      <w:r>
        <w:t>, strumenti grafici, diari e video)</w:t>
      </w:r>
      <w:r w:rsidR="00956D18">
        <w:t>.</w:t>
      </w:r>
    </w:p>
    <w:p w14:paraId="2A322DE7" w14:textId="4990A70E" w:rsidR="00956D18" w:rsidRDefault="00956D18" w:rsidP="00956D18">
      <w:pPr>
        <w:pStyle w:val="Nessunaspaziatura"/>
        <w:jc w:val="both"/>
      </w:pPr>
    </w:p>
    <w:p w14:paraId="4D65B23B" w14:textId="77777777" w:rsidR="00773DA0" w:rsidRDefault="00773DA0" w:rsidP="00956D18">
      <w:pPr>
        <w:pStyle w:val="Nessunaspaziatura"/>
        <w:jc w:val="both"/>
      </w:pPr>
    </w:p>
    <w:p w14:paraId="75F273A8" w14:textId="4799C702" w:rsidR="00EF0287" w:rsidRPr="003536EC" w:rsidRDefault="00025940" w:rsidP="00956D18">
      <w:pPr>
        <w:pStyle w:val="Nessunaspaziatura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Piano </w:t>
      </w:r>
      <w:r w:rsidR="00956D18" w:rsidRPr="003536EC">
        <w:rPr>
          <w:b/>
          <w:bCs/>
          <w:i/>
          <w:iCs/>
          <w:sz w:val="28"/>
          <w:szCs w:val="28"/>
        </w:rPr>
        <w:t>di ricerca a cura del</w:t>
      </w:r>
      <w:r w:rsidR="00EF0287">
        <w:rPr>
          <w:b/>
          <w:bCs/>
          <w:i/>
          <w:iCs/>
          <w:sz w:val="28"/>
          <w:szCs w:val="28"/>
        </w:rPr>
        <w:t xml:space="preserve"> titolare dell’assegn</w:t>
      </w:r>
      <w:r w:rsidR="00DD1966">
        <w:rPr>
          <w:b/>
          <w:bCs/>
          <w:i/>
          <w:iCs/>
          <w:sz w:val="28"/>
          <w:szCs w:val="28"/>
        </w:rPr>
        <w:t>o</w:t>
      </w:r>
    </w:p>
    <w:p w14:paraId="16EB32C5" w14:textId="1386024F" w:rsidR="00416CF7" w:rsidRDefault="00956D18" w:rsidP="00956D18">
      <w:pPr>
        <w:pStyle w:val="Nessunaspaziatura"/>
        <w:jc w:val="both"/>
      </w:pPr>
      <w:r w:rsidRPr="00956D18">
        <w:t xml:space="preserve">Il lavoro dell’assegnista sarà in continuità </w:t>
      </w:r>
      <w:r>
        <w:t xml:space="preserve">con la </w:t>
      </w:r>
      <w:r w:rsidR="00416CF7">
        <w:t>marco-</w:t>
      </w:r>
      <w:r w:rsidRPr="00956D18">
        <w:t xml:space="preserve">ricerca </w:t>
      </w:r>
      <w:r w:rsidR="001C5820">
        <w:t>sopra descritta</w:t>
      </w:r>
      <w:r w:rsidR="00416CF7">
        <w:t>.</w:t>
      </w:r>
    </w:p>
    <w:p w14:paraId="5C5DBF70" w14:textId="77777777" w:rsidR="00416CF7" w:rsidRDefault="001C5820" w:rsidP="00956D18">
      <w:pPr>
        <w:pStyle w:val="Nessunaspaziatura"/>
        <w:jc w:val="both"/>
      </w:pPr>
      <w:r>
        <w:t xml:space="preserve">All’assegnista viene richiesto dunque di </w:t>
      </w:r>
      <w:r w:rsidR="00956D18" w:rsidRPr="00956D18">
        <w:t>proseguir</w:t>
      </w:r>
      <w:r>
        <w:t>e</w:t>
      </w:r>
      <w:r w:rsidR="00956D18" w:rsidRPr="00956D18">
        <w:t xml:space="preserve"> e concluder</w:t>
      </w:r>
      <w:r>
        <w:t xml:space="preserve">e la </w:t>
      </w:r>
      <w:r w:rsidR="00416CF7">
        <w:t>macro-</w:t>
      </w:r>
      <w:r>
        <w:t>ricerca</w:t>
      </w:r>
      <w:r w:rsidR="00956D18">
        <w:t xml:space="preserve"> alla luce delle ipotesi e degli obiettivi già delineati che rispondono alla finalità generale di fornire al settore</w:t>
      </w:r>
      <w:r>
        <w:t xml:space="preserve"> </w:t>
      </w:r>
      <w:r w:rsidR="00E3643B">
        <w:t>socio-educativo e terapeutico</w:t>
      </w:r>
      <w:r w:rsidR="00956D18">
        <w:t xml:space="preserve"> nature-</w:t>
      </w:r>
      <w:proofErr w:type="spellStart"/>
      <w:r w:rsidR="00956D18">
        <w:t>based</w:t>
      </w:r>
      <w:proofErr w:type="spellEnd"/>
      <w:r w:rsidR="00956D18">
        <w:t xml:space="preserve"> una riflessione approfondita sulla valutazione e un’ampia gamma di strumenti </w:t>
      </w:r>
      <w:r w:rsidR="00416CF7">
        <w:t>di verifica utilizzabili</w:t>
      </w:r>
      <w:r>
        <w:t>.</w:t>
      </w:r>
    </w:p>
    <w:p w14:paraId="4E86AA17" w14:textId="51735BB9" w:rsidR="00956D18" w:rsidRDefault="00416CF7" w:rsidP="00956D18">
      <w:pPr>
        <w:pStyle w:val="Nessunaspaziatura"/>
        <w:jc w:val="both"/>
      </w:pPr>
      <w:r>
        <w:lastRenderedPageBreak/>
        <w:t xml:space="preserve">Proseguendo la collaborazione con </w:t>
      </w:r>
      <w:r w:rsidR="00956D18">
        <w:t xml:space="preserve">i </w:t>
      </w:r>
      <w:proofErr w:type="spellStart"/>
      <w:r w:rsidR="00956D18">
        <w:t>practitioners</w:t>
      </w:r>
      <w:proofErr w:type="spellEnd"/>
      <w:r w:rsidR="00956D18">
        <w:t xml:space="preserve"> </w:t>
      </w:r>
      <w:r>
        <w:t xml:space="preserve">si offrirà loro </w:t>
      </w:r>
      <w:r w:rsidR="00956D18">
        <w:t>la possibilità</w:t>
      </w:r>
      <w:r w:rsidR="007713DC">
        <w:t xml:space="preserve"> di ricevere supervisione e formazione sulla progettazione e valutazione dei progetti in natura, in modo che possano</w:t>
      </w:r>
      <w:r w:rsidR="00956D18">
        <w:t xml:space="preserve"> costruire/trovare/adattare in autonomia strumenti efficaci e adatti ai contesti specifici.</w:t>
      </w:r>
    </w:p>
    <w:p w14:paraId="646A2696" w14:textId="77777777" w:rsidR="008C5A9C" w:rsidRDefault="008C5A9C" w:rsidP="00956D18">
      <w:pPr>
        <w:pStyle w:val="Nessunaspaziatura"/>
        <w:jc w:val="both"/>
      </w:pPr>
    </w:p>
    <w:p w14:paraId="1D8428CD" w14:textId="6B5CDBD3" w:rsidR="00DD11C1" w:rsidRDefault="00DD11C1" w:rsidP="00956D18">
      <w:pPr>
        <w:pStyle w:val="Nessunaspaziatura"/>
        <w:jc w:val="both"/>
      </w:pPr>
      <w:r>
        <w:t>In particolare</w:t>
      </w:r>
      <w:r w:rsidR="001C5820">
        <w:t xml:space="preserve"> l’assegnista</w:t>
      </w:r>
      <w:r>
        <w:t>:</w:t>
      </w:r>
    </w:p>
    <w:p w14:paraId="4B882A98" w14:textId="48C2E3D4" w:rsidR="00956D18" w:rsidRDefault="00956D18" w:rsidP="00DD11C1">
      <w:pPr>
        <w:pStyle w:val="Nessunaspaziatura"/>
        <w:numPr>
          <w:ilvl w:val="0"/>
          <w:numId w:val="7"/>
        </w:numPr>
        <w:jc w:val="both"/>
      </w:pPr>
      <w:r>
        <w:t xml:space="preserve">sarà coinvolto/a nella gestione del rapporto con le quattro équipe di </w:t>
      </w:r>
      <w:proofErr w:type="spellStart"/>
      <w:r>
        <w:t>pra</w:t>
      </w:r>
      <w:r w:rsidR="00DD11C1">
        <w:t>c</w:t>
      </w:r>
      <w:r>
        <w:t>titioners</w:t>
      </w:r>
      <w:proofErr w:type="spellEnd"/>
      <w:r>
        <w:t xml:space="preserve"> e nell’analisi dei dati che gli stessi stanno raccogliendo, attraverso gli strumenti co-costruiti nelle precedenti fasi di ricerca</w:t>
      </w:r>
      <w:r w:rsidR="00DD11C1">
        <w:t xml:space="preserve">. Questo lavoro si realizzerà mediante le seguenti azioni: </w:t>
      </w:r>
    </w:p>
    <w:p w14:paraId="2275317E" w14:textId="4CBD6A9F" w:rsidR="00DD11C1" w:rsidRDefault="00DD11C1" w:rsidP="00DD11C1">
      <w:pPr>
        <w:pStyle w:val="Nessunaspaziatura"/>
        <w:numPr>
          <w:ilvl w:val="0"/>
          <w:numId w:val="8"/>
        </w:numPr>
        <w:jc w:val="both"/>
      </w:pPr>
      <w:r>
        <w:t>osservazione partecipante delle attività nature-</w:t>
      </w:r>
      <w:proofErr w:type="spellStart"/>
      <w:r>
        <w:t>based</w:t>
      </w:r>
      <w:proofErr w:type="spellEnd"/>
      <w:r>
        <w:t xml:space="preserve"> messe in atto dai gruppi di </w:t>
      </w:r>
      <w:proofErr w:type="spellStart"/>
      <w:r>
        <w:t>practitioners</w:t>
      </w:r>
      <w:proofErr w:type="spellEnd"/>
      <w:r>
        <w:t xml:space="preserve"> facenti parte di </w:t>
      </w:r>
      <w:r w:rsidR="00773DA0">
        <w:t>CEFEO</w:t>
      </w:r>
      <w:r>
        <w:t xml:space="preserve"> e coinvolti nella ricerca;</w:t>
      </w:r>
    </w:p>
    <w:p w14:paraId="04F86E77" w14:textId="43CDAEBA" w:rsidR="00DD11C1" w:rsidRDefault="007713DC" w:rsidP="00DD11C1">
      <w:pPr>
        <w:pStyle w:val="Nessunaspaziatura"/>
        <w:numPr>
          <w:ilvl w:val="0"/>
          <w:numId w:val="8"/>
        </w:numPr>
        <w:jc w:val="both"/>
      </w:pPr>
      <w:r>
        <w:t xml:space="preserve">supporto agli educatori nella </w:t>
      </w:r>
      <w:r w:rsidR="00DD11C1">
        <w:t>prosecuzione e conclusione della raccolta dati tramite gli strumenti co-costruiti nelle fasi preliminari della ricerca;</w:t>
      </w:r>
    </w:p>
    <w:p w14:paraId="03B72CD6" w14:textId="1780B439" w:rsidR="00DD11C1" w:rsidRDefault="00DD11C1" w:rsidP="00DD11C1">
      <w:pPr>
        <w:pStyle w:val="Nessunaspaziatura"/>
        <w:numPr>
          <w:ilvl w:val="0"/>
          <w:numId w:val="8"/>
        </w:numPr>
        <w:jc w:val="both"/>
      </w:pPr>
      <w:r>
        <w:t xml:space="preserve">analisi dei dati quantitativi (questionari) tramite </w:t>
      </w:r>
      <w:r w:rsidR="001C5820">
        <w:t xml:space="preserve">specifici </w:t>
      </w:r>
      <w:r>
        <w:t xml:space="preserve">software </w:t>
      </w:r>
      <w:r w:rsidR="001C5820">
        <w:t>(</w:t>
      </w:r>
      <w:r>
        <w:t>SPSS/</w:t>
      </w:r>
      <w:proofErr w:type="spellStart"/>
      <w:r>
        <w:t>Jamovi</w:t>
      </w:r>
      <w:proofErr w:type="spellEnd"/>
      <w:r w:rsidR="001C5820">
        <w:t>)</w:t>
      </w:r>
      <w:r w:rsidR="008C5A9C">
        <w:t xml:space="preserve"> e analisi dei </w:t>
      </w:r>
      <w:r>
        <w:t xml:space="preserve">dati qualitativi tramite analisi tematica </w:t>
      </w:r>
      <w:r w:rsidR="00A95334">
        <w:t xml:space="preserve">con l’ausilio di </w:t>
      </w:r>
      <w:r>
        <w:t>software</w:t>
      </w:r>
      <w:r w:rsidR="00A95334">
        <w:t xml:space="preserve"> quali</w:t>
      </w:r>
      <w:r w:rsidR="005033D5">
        <w:t>,</w:t>
      </w:r>
      <w:r w:rsidR="00A95334">
        <w:t xml:space="preserve"> </w:t>
      </w:r>
      <w:r w:rsidR="005033D5">
        <w:t>a</w:t>
      </w:r>
      <w:r w:rsidR="00A95334">
        <w:t>d esempio,</w:t>
      </w:r>
      <w:r>
        <w:t xml:space="preserve"> T-lab plus/</w:t>
      </w:r>
      <w:proofErr w:type="spellStart"/>
      <w:r>
        <w:t>Nvivo</w:t>
      </w:r>
      <w:proofErr w:type="spellEnd"/>
      <w:r>
        <w:t>;</w:t>
      </w:r>
    </w:p>
    <w:p w14:paraId="07883F75" w14:textId="5FC8B494" w:rsidR="00415B46" w:rsidRDefault="00DD11C1" w:rsidP="00DD11C1">
      <w:pPr>
        <w:pStyle w:val="Nessunaspaziatura"/>
        <w:numPr>
          <w:ilvl w:val="0"/>
          <w:numId w:val="8"/>
        </w:numPr>
        <w:jc w:val="both"/>
      </w:pPr>
      <w:r>
        <w:t xml:space="preserve">redazione di report finali per restituire </w:t>
      </w:r>
      <w:r w:rsidR="008C5A9C">
        <w:t xml:space="preserve">i risultati del lavoro svolto </w:t>
      </w:r>
      <w:r>
        <w:t xml:space="preserve">a ciascuna delle </w:t>
      </w:r>
      <w:r w:rsidR="008C5A9C">
        <w:t>é</w:t>
      </w:r>
      <w:r>
        <w:t>quipe di operatori con cui è in corso la ricerca partecipata;</w:t>
      </w:r>
      <w:r w:rsidR="00415B46">
        <w:t xml:space="preserve"> </w:t>
      </w:r>
    </w:p>
    <w:p w14:paraId="73C570D8" w14:textId="4E486617" w:rsidR="00415B46" w:rsidRDefault="00415B46" w:rsidP="00DD11C1">
      <w:pPr>
        <w:pStyle w:val="Nessunaspaziatura"/>
        <w:numPr>
          <w:ilvl w:val="0"/>
          <w:numId w:val="8"/>
        </w:numPr>
        <w:jc w:val="both"/>
      </w:pPr>
      <w:r>
        <w:t>collaborazione alla produzione di pubblicazioni scientifiche aventi per oggetto gli esiti della ricerca;</w:t>
      </w:r>
    </w:p>
    <w:p w14:paraId="3312EB89" w14:textId="71D38F1E" w:rsidR="00DD11C1" w:rsidRDefault="00DD11C1" w:rsidP="00415B46">
      <w:pPr>
        <w:pStyle w:val="Nessunaspaziatura"/>
        <w:numPr>
          <w:ilvl w:val="0"/>
          <w:numId w:val="8"/>
        </w:numPr>
        <w:jc w:val="both"/>
      </w:pPr>
      <w:r>
        <w:t>v</w:t>
      </w:r>
      <w:r w:rsidR="00956D18">
        <w:t>erific</w:t>
      </w:r>
      <w:r>
        <w:t>a del</w:t>
      </w:r>
      <w:r w:rsidR="00956D18">
        <w:t xml:space="preserve">l’efficacia e </w:t>
      </w:r>
      <w:r w:rsidR="007713DC">
        <w:t>del</w:t>
      </w:r>
      <w:r w:rsidR="00956D18">
        <w:t>la sostenibilità degli strumenti co-costruiti.</w:t>
      </w:r>
    </w:p>
    <w:p w14:paraId="31B13ECE" w14:textId="44DA6BBD" w:rsidR="00DD11C1" w:rsidRDefault="00DD11C1" w:rsidP="00DD11C1">
      <w:pPr>
        <w:pStyle w:val="Nessunaspaziatura"/>
        <w:numPr>
          <w:ilvl w:val="0"/>
          <w:numId w:val="7"/>
        </w:numPr>
        <w:jc w:val="both"/>
      </w:pPr>
      <w:r>
        <w:t>Esplorerà</w:t>
      </w:r>
      <w:r w:rsidR="00956D18">
        <w:t xml:space="preserve"> la possibilità di esportare </w:t>
      </w:r>
      <w:r w:rsidR="00956D18" w:rsidRPr="00DD11C1">
        <w:t xml:space="preserve">alcuni degli strumenti costruiti </w:t>
      </w:r>
      <w:r w:rsidRPr="00DD11C1">
        <w:t xml:space="preserve">su piattaforme digitali (software/applicazioni) </w:t>
      </w:r>
      <w:r w:rsidR="00956D18" w:rsidRPr="00DD11C1">
        <w:t>che</w:t>
      </w:r>
      <w:r w:rsidRPr="00DD11C1">
        <w:t xml:space="preserve"> </w:t>
      </w:r>
      <w:r w:rsidR="00956D18" w:rsidRPr="00DD11C1">
        <w:t>possano offrire delle opportunità per rendere il processo di valutazione in natura più efficiente ed efficace</w:t>
      </w:r>
      <w:r w:rsidR="008C5A9C">
        <w:t xml:space="preserve"> (</w:t>
      </w:r>
      <w:r w:rsidR="008C5A9C" w:rsidRPr="00DD11C1">
        <w:t xml:space="preserve">anche attraverso la collaborazione con ricercatori di altri </w:t>
      </w:r>
      <w:r w:rsidR="008C5A9C">
        <w:t>A</w:t>
      </w:r>
      <w:r w:rsidR="008C5A9C" w:rsidRPr="00DD11C1">
        <w:t>tenei</w:t>
      </w:r>
      <w:r w:rsidR="008C5A9C">
        <w:t xml:space="preserve"> e/o informatici</w:t>
      </w:r>
      <w:r w:rsidR="008C5A9C" w:rsidRPr="00DD11C1">
        <w:t>)</w:t>
      </w:r>
      <w:r w:rsidR="008C5A9C">
        <w:t>;</w:t>
      </w:r>
    </w:p>
    <w:p w14:paraId="5EB838BA" w14:textId="3932818F" w:rsidR="00956D18" w:rsidRDefault="00956D18" w:rsidP="00DD11C1">
      <w:pPr>
        <w:pStyle w:val="Nessunaspaziatura"/>
        <w:numPr>
          <w:ilvl w:val="0"/>
          <w:numId w:val="7"/>
        </w:numPr>
        <w:jc w:val="both"/>
      </w:pPr>
      <w:r>
        <w:t>Partecip</w:t>
      </w:r>
      <w:r w:rsidR="00DD11C1">
        <w:t>erà</w:t>
      </w:r>
      <w:r>
        <w:t xml:space="preserve"> all’organizzazione di convegni/seminari nazionali/internazionali e di occasioni formative promossi da CEFEO e finalizzati alla divulgazione dei principali risultati della ricerca sulla valutazione dei progetti nature-</w:t>
      </w:r>
      <w:proofErr w:type="spellStart"/>
      <w:r>
        <w:t>based</w:t>
      </w:r>
      <w:proofErr w:type="spellEnd"/>
      <w:r w:rsidR="00DD11C1">
        <w:t>.</w:t>
      </w:r>
    </w:p>
    <w:p w14:paraId="67C5BA11" w14:textId="095A0899" w:rsidR="00025940" w:rsidRDefault="00025940" w:rsidP="00956D18">
      <w:pPr>
        <w:pStyle w:val="Nessunaspaziatura"/>
        <w:jc w:val="both"/>
        <w:rPr>
          <w:b/>
          <w:bCs/>
          <w:i/>
          <w:iCs/>
          <w:sz w:val="28"/>
          <w:szCs w:val="28"/>
        </w:rPr>
      </w:pPr>
    </w:p>
    <w:p w14:paraId="5E0882FD" w14:textId="77777777" w:rsidR="00A5628D" w:rsidRDefault="00A5628D" w:rsidP="00956D18">
      <w:pPr>
        <w:pStyle w:val="Nessunaspaziatura"/>
        <w:jc w:val="both"/>
        <w:rPr>
          <w:b/>
          <w:bCs/>
          <w:i/>
          <w:iCs/>
          <w:sz w:val="28"/>
          <w:szCs w:val="28"/>
        </w:rPr>
      </w:pPr>
    </w:p>
    <w:p w14:paraId="0E7B7C75" w14:textId="67EAD016" w:rsidR="00956D18" w:rsidRDefault="00025940" w:rsidP="00956D18">
      <w:pPr>
        <w:pStyle w:val="Nessunaspaziatura"/>
        <w:jc w:val="both"/>
        <w:rPr>
          <w:b/>
          <w:bCs/>
          <w:i/>
          <w:iCs/>
          <w:sz w:val="28"/>
          <w:szCs w:val="28"/>
        </w:rPr>
      </w:pPr>
      <w:r w:rsidRPr="00025940">
        <w:rPr>
          <w:b/>
          <w:bCs/>
          <w:i/>
          <w:iCs/>
          <w:sz w:val="28"/>
          <w:szCs w:val="28"/>
        </w:rPr>
        <w:t>Esiti previsti</w:t>
      </w:r>
    </w:p>
    <w:p w14:paraId="34300C36" w14:textId="77777777" w:rsidR="00776342" w:rsidRPr="00776342" w:rsidRDefault="00EF0287" w:rsidP="00776342">
      <w:pPr>
        <w:pStyle w:val="Nessunaspaziatura"/>
        <w:jc w:val="both"/>
      </w:pPr>
      <w:r w:rsidRPr="00EF0287">
        <w:t xml:space="preserve">Al termine del </w:t>
      </w:r>
      <w:r>
        <w:t>periodo di ricerca, l’assegnista avrà</w:t>
      </w:r>
      <w:r w:rsidR="00A5628D">
        <w:rPr>
          <w:sz w:val="28"/>
          <w:szCs w:val="28"/>
        </w:rPr>
        <w:t>:</w:t>
      </w:r>
      <w:r w:rsidR="00776342">
        <w:rPr>
          <w:sz w:val="28"/>
          <w:szCs w:val="28"/>
        </w:rPr>
        <w:t xml:space="preserve"> </w:t>
      </w:r>
    </w:p>
    <w:p w14:paraId="6945E1D5" w14:textId="1E51830E" w:rsidR="00025940" w:rsidRDefault="00BD2CBC" w:rsidP="00BD2CBC">
      <w:pPr>
        <w:pStyle w:val="Nessunaspaziatura"/>
        <w:numPr>
          <w:ilvl w:val="0"/>
          <w:numId w:val="8"/>
        </w:numPr>
        <w:ind w:left="709"/>
        <w:jc w:val="both"/>
      </w:pPr>
      <w:r>
        <w:t>R</w:t>
      </w:r>
      <w:r w:rsidR="00025940">
        <w:t>eda</w:t>
      </w:r>
      <w:r w:rsidR="00EF0287">
        <w:t>tto</w:t>
      </w:r>
      <w:r w:rsidR="00025940">
        <w:t xml:space="preserve"> </w:t>
      </w:r>
      <w:r w:rsidR="00EF0287">
        <w:t>i</w:t>
      </w:r>
      <w:r w:rsidR="00025940">
        <w:t xml:space="preserve"> report finali per restituire </w:t>
      </w:r>
      <w:r w:rsidR="00EF0287">
        <w:t xml:space="preserve">i risultati del lavoro svolto </w:t>
      </w:r>
      <w:r w:rsidR="00025940">
        <w:t xml:space="preserve">a ciascuna delle </w:t>
      </w:r>
      <w:r w:rsidR="00EF0287">
        <w:t>é</w:t>
      </w:r>
      <w:r w:rsidR="00025940">
        <w:t xml:space="preserve">quipe di operatori con cui è in corso la ricerca partecipata; </w:t>
      </w:r>
    </w:p>
    <w:p w14:paraId="6BB70D66" w14:textId="5EDCAACE" w:rsidR="00025940" w:rsidRDefault="00BD2CBC" w:rsidP="00BD2CBC">
      <w:pPr>
        <w:pStyle w:val="Nessunaspaziatura"/>
        <w:numPr>
          <w:ilvl w:val="0"/>
          <w:numId w:val="8"/>
        </w:numPr>
        <w:ind w:left="709"/>
        <w:jc w:val="both"/>
      </w:pPr>
      <w:r>
        <w:t>C</w:t>
      </w:r>
      <w:r w:rsidR="00025940">
        <w:t>ollabora</w:t>
      </w:r>
      <w:r w:rsidR="00EF0287">
        <w:t>to</w:t>
      </w:r>
      <w:r w:rsidR="00025940">
        <w:t xml:space="preserve"> alla produzione di pubblicazioni scientifiche aventi per oggetto gli esiti della ricerca;</w:t>
      </w:r>
    </w:p>
    <w:p w14:paraId="7687FE86" w14:textId="33E23C16" w:rsidR="00025940" w:rsidRPr="00025940" w:rsidRDefault="00BD2CBC" w:rsidP="00BD2CBC">
      <w:pPr>
        <w:pStyle w:val="Nessunaspaziatura"/>
        <w:numPr>
          <w:ilvl w:val="0"/>
          <w:numId w:val="8"/>
        </w:numPr>
        <w:ind w:left="709"/>
        <w:jc w:val="both"/>
      </w:pPr>
      <w:r>
        <w:t>D</w:t>
      </w:r>
      <w:r w:rsidR="00025940">
        <w:t>ivulga</w:t>
      </w:r>
      <w:r w:rsidR="00EF0287">
        <w:t>to</w:t>
      </w:r>
      <w:r w:rsidR="00025940">
        <w:t xml:space="preserve"> gli output della ricerca mediante la partecipazione a seminari, convegni, eventi formativi a livello nazionale e internazionale.</w:t>
      </w:r>
    </w:p>
    <w:p w14:paraId="165C21C4" w14:textId="565D70DF" w:rsidR="00025940" w:rsidRDefault="00025940" w:rsidP="00956D18">
      <w:pPr>
        <w:pStyle w:val="Nessunaspaziatura"/>
        <w:jc w:val="both"/>
      </w:pPr>
    </w:p>
    <w:p w14:paraId="59BFF66C" w14:textId="77777777" w:rsidR="00A5628D" w:rsidRDefault="00A5628D" w:rsidP="00956D18">
      <w:pPr>
        <w:pStyle w:val="Nessunaspaziatura"/>
        <w:jc w:val="both"/>
      </w:pPr>
    </w:p>
    <w:p w14:paraId="24509F1B" w14:textId="692DF3C1" w:rsidR="00EF0287" w:rsidRPr="00025940" w:rsidRDefault="00956D18" w:rsidP="00956D18">
      <w:pPr>
        <w:pStyle w:val="Nessunaspaziatura"/>
        <w:jc w:val="both"/>
        <w:rPr>
          <w:b/>
          <w:bCs/>
          <w:i/>
          <w:iCs/>
          <w:sz w:val="28"/>
          <w:szCs w:val="28"/>
        </w:rPr>
      </w:pPr>
      <w:r w:rsidRPr="00025940">
        <w:rPr>
          <w:b/>
          <w:bCs/>
          <w:i/>
          <w:iCs/>
          <w:sz w:val="28"/>
          <w:szCs w:val="28"/>
        </w:rPr>
        <w:t>Piano di formazione previsto per il titolare dell’assegno di ricerca</w:t>
      </w:r>
    </w:p>
    <w:p w14:paraId="419BC0E2" w14:textId="589F3DC3" w:rsidR="00415B46" w:rsidRPr="00415B46" w:rsidRDefault="00415B46" w:rsidP="00956D18">
      <w:pPr>
        <w:pStyle w:val="Nessunaspaziatura"/>
        <w:jc w:val="both"/>
      </w:pPr>
      <w:r w:rsidRPr="00415B46">
        <w:t>Durante il periodo dell’incarico, l’assegnista:</w:t>
      </w:r>
    </w:p>
    <w:p w14:paraId="0061AEFF" w14:textId="372DBB62" w:rsidR="00956D18" w:rsidRPr="00415B46" w:rsidRDefault="00415B46" w:rsidP="00415B46">
      <w:pPr>
        <w:pStyle w:val="Nessunaspaziatura"/>
        <w:numPr>
          <w:ilvl w:val="0"/>
          <w:numId w:val="9"/>
        </w:numPr>
        <w:jc w:val="both"/>
      </w:pPr>
      <w:r>
        <w:t>Effettuerà v</w:t>
      </w:r>
      <w:r w:rsidR="00956D18" w:rsidRPr="00415B46">
        <w:t>isite presso altri atenei e gruppi di ricerca per acquisire conoscenze e competenze finalizzate all’apprendimento di metodi di ricerca e allo scambio di conoscenze e buone pratiche con ricercatori interessati a tematiche affini;</w:t>
      </w:r>
    </w:p>
    <w:p w14:paraId="3E831EC4" w14:textId="108125D3" w:rsidR="00956D18" w:rsidRPr="00415B46" w:rsidRDefault="00956D18" w:rsidP="00415B46">
      <w:pPr>
        <w:pStyle w:val="Nessunaspaziatura"/>
        <w:numPr>
          <w:ilvl w:val="0"/>
          <w:numId w:val="9"/>
        </w:numPr>
        <w:jc w:val="both"/>
      </w:pPr>
      <w:r w:rsidRPr="00415B46">
        <w:t>Partecip</w:t>
      </w:r>
      <w:r w:rsidR="00415B46">
        <w:t>erà</w:t>
      </w:r>
      <w:r w:rsidRPr="00415B46">
        <w:t xml:space="preserve"> a seminari e convegni nazionali e internazionali sull’educazione nature-</w:t>
      </w:r>
      <w:proofErr w:type="spellStart"/>
      <w:r w:rsidRPr="00415B46">
        <w:t>based</w:t>
      </w:r>
      <w:proofErr w:type="spellEnd"/>
      <w:r w:rsidRPr="00415B46">
        <w:t>;</w:t>
      </w:r>
    </w:p>
    <w:p w14:paraId="1A84C7B0" w14:textId="485A346B" w:rsidR="00956D18" w:rsidRDefault="00415B46" w:rsidP="00956D18">
      <w:pPr>
        <w:pStyle w:val="Nessunaspaziatura"/>
        <w:numPr>
          <w:ilvl w:val="0"/>
          <w:numId w:val="9"/>
        </w:numPr>
        <w:jc w:val="both"/>
      </w:pPr>
      <w:r>
        <w:t>P</w:t>
      </w:r>
      <w:r w:rsidR="00956D18" w:rsidRPr="00415B46">
        <w:t>artecip</w:t>
      </w:r>
      <w:r w:rsidR="00BD2CBC">
        <w:t>erà</w:t>
      </w:r>
      <w:r w:rsidR="00956D18" w:rsidRPr="00415B46">
        <w:t xml:space="preserve"> a </w:t>
      </w:r>
      <w:r>
        <w:t xml:space="preserve">eventuali </w:t>
      </w:r>
      <w:r w:rsidR="00956D18" w:rsidRPr="00415B46">
        <w:t>eventi formativi o a corsi di formazione sulle metodologie di ricerca</w:t>
      </w:r>
      <w:r w:rsidR="00BD2CBC">
        <w:t xml:space="preserve"> e</w:t>
      </w:r>
      <w:r w:rsidR="00956D18" w:rsidRPr="00415B46">
        <w:t xml:space="preserve"> sull’utilizzo di software di analisi dei dati</w:t>
      </w:r>
      <w:r>
        <w:t>.</w:t>
      </w:r>
    </w:p>
    <w:p w14:paraId="58E7B1BB" w14:textId="77777777" w:rsidR="00956D18" w:rsidRDefault="00956D18" w:rsidP="00956D18">
      <w:pPr>
        <w:pStyle w:val="Nessunaspaziatura"/>
        <w:jc w:val="both"/>
        <w:rPr>
          <w:b/>
          <w:bCs/>
        </w:rPr>
      </w:pPr>
    </w:p>
    <w:p w14:paraId="4B9A43DA" w14:textId="77777777" w:rsidR="00956D18" w:rsidRPr="00BD2CBC" w:rsidRDefault="00956D18" w:rsidP="00956D18">
      <w:pPr>
        <w:pStyle w:val="Nessunaspaziatura"/>
        <w:jc w:val="both"/>
        <w:rPr>
          <w:b/>
          <w:bCs/>
          <w:i/>
          <w:iCs/>
          <w:sz w:val="28"/>
          <w:szCs w:val="28"/>
        </w:rPr>
      </w:pPr>
      <w:r w:rsidRPr="00BD2CBC">
        <w:rPr>
          <w:b/>
          <w:bCs/>
          <w:i/>
          <w:iCs/>
          <w:sz w:val="28"/>
          <w:szCs w:val="28"/>
        </w:rPr>
        <w:t>Bibliografia</w:t>
      </w:r>
    </w:p>
    <w:p w14:paraId="7829D1C4" w14:textId="77777777" w:rsidR="00956D18" w:rsidRPr="00776342" w:rsidRDefault="00956D18" w:rsidP="00956D18">
      <w:pPr>
        <w:ind w:left="567" w:hanging="567"/>
        <w:jc w:val="both"/>
        <w:rPr>
          <w:lang w:val="en-US"/>
        </w:rPr>
      </w:pPr>
      <w:proofErr w:type="spellStart"/>
      <w:r w:rsidRPr="00233957">
        <w:t>Bastianoni</w:t>
      </w:r>
      <w:proofErr w:type="spellEnd"/>
      <w:r w:rsidRPr="00233957">
        <w:t>, P., &amp; Zullo, F. (</w:t>
      </w:r>
      <w:proofErr w:type="spellStart"/>
      <w:r w:rsidRPr="00233957">
        <w:t>Eds</w:t>
      </w:r>
      <w:proofErr w:type="spellEnd"/>
      <w:r w:rsidRPr="00233957">
        <w:t xml:space="preserve">.) (2012). </w:t>
      </w:r>
      <w:r w:rsidRPr="00233957">
        <w:rPr>
          <w:i/>
          <w:iCs/>
        </w:rPr>
        <w:t>Neomaggiorenni e autonomia personale. Resilienza ed emancipazione</w:t>
      </w:r>
      <w:r w:rsidRPr="00233957">
        <w:t xml:space="preserve">. </w:t>
      </w:r>
      <w:proofErr w:type="spellStart"/>
      <w:r w:rsidRPr="00776342">
        <w:rPr>
          <w:lang w:val="en-US"/>
        </w:rPr>
        <w:t>Carocci</w:t>
      </w:r>
      <w:proofErr w:type="spellEnd"/>
      <w:r w:rsidRPr="00776342">
        <w:rPr>
          <w:lang w:val="en-US"/>
        </w:rPr>
        <w:t>.</w:t>
      </w:r>
    </w:p>
    <w:p w14:paraId="667C83F1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Bowen, D. J., &amp; Neill J. T. (2013). A Meta-Analysis of Adventure Therapy Outcomes and Moderators. </w:t>
      </w:r>
      <w:r w:rsidRPr="00736CC7">
        <w:rPr>
          <w:i/>
          <w:iCs/>
          <w:lang w:val="en-US" w:eastAsia="it-IT"/>
        </w:rPr>
        <w:t>The Open Psychology Journal</w:t>
      </w:r>
      <w:r w:rsidRPr="00736CC7">
        <w:rPr>
          <w:lang w:val="en-US" w:eastAsia="it-IT"/>
        </w:rPr>
        <w:t xml:space="preserve">, 6(1), 28-53. </w:t>
      </w:r>
      <w:hyperlink r:id="rId9" w:history="1">
        <w:r w:rsidRPr="00736CC7">
          <w:rPr>
            <w:rStyle w:val="Collegamentoipertestuale"/>
            <w:lang w:val="en-US" w:eastAsia="it-IT"/>
          </w:rPr>
          <w:t>https://doi.org/10.2174/1874350120130802001</w:t>
        </w:r>
      </w:hyperlink>
      <w:r w:rsidRPr="00736CC7">
        <w:rPr>
          <w:lang w:val="en-US" w:eastAsia="it-IT"/>
        </w:rPr>
        <w:t xml:space="preserve"> </w:t>
      </w:r>
    </w:p>
    <w:p w14:paraId="51DE9941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Cason, D., &amp; Gillis, H. L. (1994). A meta-analysis of outdoor adventure programming with adolescents. </w:t>
      </w:r>
      <w:r w:rsidRPr="00736CC7">
        <w:rPr>
          <w:i/>
          <w:iCs/>
          <w:lang w:val="en-US" w:eastAsia="it-IT"/>
        </w:rPr>
        <w:t>The Journal of Experiential Education</w:t>
      </w:r>
      <w:r w:rsidRPr="00736CC7">
        <w:rPr>
          <w:lang w:val="en-US" w:eastAsia="it-IT"/>
        </w:rPr>
        <w:t xml:space="preserve">, 17(1), 40-47. </w:t>
      </w:r>
      <w:hyperlink r:id="rId10" w:history="1">
        <w:r w:rsidRPr="00736CC7">
          <w:rPr>
            <w:rStyle w:val="Collegamentoipertestuale"/>
            <w:lang w:val="en-US" w:eastAsia="it-IT"/>
          </w:rPr>
          <w:t>https://doi.org/10.1177/105382599401700109</w:t>
        </w:r>
      </w:hyperlink>
      <w:r w:rsidRPr="00736CC7">
        <w:rPr>
          <w:lang w:val="en-US" w:eastAsia="it-IT"/>
        </w:rPr>
        <w:t xml:space="preserve"> </w:t>
      </w:r>
    </w:p>
    <w:p w14:paraId="63AA313F" w14:textId="77777777" w:rsidR="00956D18" w:rsidRPr="00776342" w:rsidRDefault="00956D18" w:rsidP="00956D18">
      <w:pPr>
        <w:ind w:left="567" w:hanging="567"/>
        <w:jc w:val="both"/>
      </w:pPr>
      <w:r w:rsidRPr="00A8348B">
        <w:rPr>
          <w:lang w:val="en-US"/>
        </w:rPr>
        <w:t xml:space="preserve">Chen, H. (2012). Theory-driven evaluation: Conceptual framework, application and advancement. In: Strobl, R., </w:t>
      </w:r>
      <w:proofErr w:type="spellStart"/>
      <w:r w:rsidRPr="00A8348B">
        <w:rPr>
          <w:lang w:val="en-US"/>
        </w:rPr>
        <w:t>Lobermeier</w:t>
      </w:r>
      <w:proofErr w:type="spellEnd"/>
      <w:r w:rsidRPr="00A8348B">
        <w:rPr>
          <w:lang w:val="en-US"/>
        </w:rPr>
        <w:t xml:space="preserve">, O., </w:t>
      </w:r>
      <w:proofErr w:type="spellStart"/>
      <w:r w:rsidRPr="00A8348B">
        <w:rPr>
          <w:lang w:val="en-US"/>
        </w:rPr>
        <w:t>Heitmeyer</w:t>
      </w:r>
      <w:proofErr w:type="spellEnd"/>
      <w:r w:rsidRPr="00A8348B">
        <w:rPr>
          <w:lang w:val="en-US"/>
        </w:rPr>
        <w:t xml:space="preserve">, W. (eds) </w:t>
      </w:r>
      <w:r w:rsidRPr="00A8348B">
        <w:rPr>
          <w:i/>
          <w:iCs/>
          <w:lang w:val="en-US"/>
        </w:rPr>
        <w:t xml:space="preserve">Evaluation von </w:t>
      </w:r>
      <w:proofErr w:type="spellStart"/>
      <w:r w:rsidRPr="00A8348B">
        <w:rPr>
          <w:i/>
          <w:iCs/>
          <w:lang w:val="en-US"/>
        </w:rPr>
        <w:t>Programmen</w:t>
      </w:r>
      <w:proofErr w:type="spellEnd"/>
      <w:r w:rsidRPr="00A8348B">
        <w:rPr>
          <w:i/>
          <w:iCs/>
          <w:lang w:val="en-US"/>
        </w:rPr>
        <w:t xml:space="preserve"> und </w:t>
      </w:r>
      <w:proofErr w:type="spellStart"/>
      <w:r w:rsidRPr="00A8348B">
        <w:rPr>
          <w:i/>
          <w:iCs/>
          <w:lang w:val="en-US"/>
        </w:rPr>
        <w:t>Projekten</w:t>
      </w:r>
      <w:proofErr w:type="spellEnd"/>
      <w:r w:rsidRPr="00A8348B">
        <w:rPr>
          <w:i/>
          <w:iCs/>
          <w:lang w:val="en-US"/>
        </w:rPr>
        <w:t xml:space="preserve"> </w:t>
      </w:r>
      <w:proofErr w:type="spellStart"/>
      <w:r w:rsidRPr="00A8348B">
        <w:rPr>
          <w:i/>
          <w:iCs/>
          <w:lang w:val="en-US"/>
        </w:rPr>
        <w:t>für</w:t>
      </w:r>
      <w:proofErr w:type="spellEnd"/>
      <w:r w:rsidRPr="00A8348B">
        <w:rPr>
          <w:i/>
          <w:iCs/>
          <w:lang w:val="en-US"/>
        </w:rPr>
        <w:t xml:space="preserve"> </w:t>
      </w:r>
      <w:proofErr w:type="spellStart"/>
      <w:r w:rsidRPr="00A8348B">
        <w:rPr>
          <w:i/>
          <w:iCs/>
          <w:lang w:val="en-US"/>
        </w:rPr>
        <w:t>eine</w:t>
      </w:r>
      <w:proofErr w:type="spellEnd"/>
      <w:r w:rsidRPr="00A8348B">
        <w:rPr>
          <w:i/>
          <w:iCs/>
          <w:lang w:val="en-US"/>
        </w:rPr>
        <w:t xml:space="preserve"> </w:t>
      </w:r>
      <w:proofErr w:type="spellStart"/>
      <w:r w:rsidRPr="00A8348B">
        <w:rPr>
          <w:i/>
          <w:iCs/>
          <w:lang w:val="en-US"/>
        </w:rPr>
        <w:t>demokratische</w:t>
      </w:r>
      <w:proofErr w:type="spellEnd"/>
      <w:r w:rsidRPr="00A8348B">
        <w:rPr>
          <w:i/>
          <w:iCs/>
          <w:lang w:val="en-US"/>
        </w:rPr>
        <w:t xml:space="preserve"> Kultur</w:t>
      </w:r>
      <w:r w:rsidRPr="00A8348B">
        <w:rPr>
          <w:lang w:val="en-US"/>
        </w:rPr>
        <w:t xml:space="preserve">. </w:t>
      </w:r>
      <w:r w:rsidRPr="00776342">
        <w:t>Springer VS, Wiesbaden.</w:t>
      </w:r>
    </w:p>
    <w:p w14:paraId="07447FDF" w14:textId="3CF80359" w:rsidR="00776342" w:rsidRPr="00776342" w:rsidRDefault="00776342" w:rsidP="00776342">
      <w:pPr>
        <w:ind w:left="567" w:hanging="567"/>
        <w:jc w:val="both"/>
        <w:rPr>
          <w:lang w:val="en-US" w:eastAsia="it-IT"/>
        </w:rPr>
      </w:pPr>
      <w:r w:rsidRPr="00776342">
        <w:rPr>
          <w:lang w:val="en-US" w:eastAsia="it-IT"/>
        </w:rPr>
        <w:t xml:space="preserve">Cooley, S. (2015). </w:t>
      </w:r>
      <w:r w:rsidRPr="00776342">
        <w:rPr>
          <w:i/>
          <w:iCs/>
          <w:lang w:val="en-US" w:eastAsia="it-IT"/>
        </w:rPr>
        <w:t>Developing groupwork through outdoor adventure education: A systematic evaluation of learning and transfer in higher education</w:t>
      </w:r>
      <w:r w:rsidRPr="00776342">
        <w:rPr>
          <w:lang w:val="en-US" w:eastAsia="it-IT"/>
        </w:rPr>
        <w:t>. Doctoral Thesis. University of Birmingham.</w:t>
      </w:r>
    </w:p>
    <w:p w14:paraId="396990F5" w14:textId="2696EE66" w:rsidR="00956D18" w:rsidRPr="00776342" w:rsidRDefault="00956D18" w:rsidP="00956D18">
      <w:pPr>
        <w:ind w:left="567" w:hanging="567"/>
        <w:jc w:val="both"/>
        <w:rPr>
          <w:lang w:val="en-US" w:eastAsia="it-IT"/>
        </w:rPr>
      </w:pPr>
      <w:r w:rsidRPr="00885F76">
        <w:rPr>
          <w:lang w:eastAsia="it-IT"/>
        </w:rPr>
        <w:t xml:space="preserve">Cossu, E., Coni, A., </w:t>
      </w:r>
      <w:proofErr w:type="spellStart"/>
      <w:r w:rsidRPr="00885F76">
        <w:rPr>
          <w:lang w:eastAsia="it-IT"/>
        </w:rPr>
        <w:t>Tusconi</w:t>
      </w:r>
      <w:proofErr w:type="spellEnd"/>
      <w:r w:rsidRPr="00885F76">
        <w:rPr>
          <w:lang w:eastAsia="it-IT"/>
        </w:rPr>
        <w:t xml:space="preserve">, M., </w:t>
      </w:r>
      <w:proofErr w:type="spellStart"/>
      <w:r w:rsidRPr="00885F76">
        <w:rPr>
          <w:lang w:eastAsia="it-IT"/>
        </w:rPr>
        <w:t>Carpinielo</w:t>
      </w:r>
      <w:proofErr w:type="spellEnd"/>
      <w:r w:rsidRPr="00885F76">
        <w:rPr>
          <w:lang w:eastAsia="it-IT"/>
        </w:rPr>
        <w:t xml:space="preserve">, B., &amp; Primavera, D. (2016). La </w:t>
      </w:r>
      <w:proofErr w:type="spellStart"/>
      <w:r w:rsidRPr="00885F76">
        <w:rPr>
          <w:lang w:eastAsia="it-IT"/>
        </w:rPr>
        <w:t>Montagnaterapia</w:t>
      </w:r>
      <w:proofErr w:type="spellEnd"/>
      <w:r w:rsidRPr="00885F76">
        <w:rPr>
          <w:lang w:eastAsia="it-IT"/>
        </w:rPr>
        <w:t xml:space="preserve"> come strumento nella riabilitazione psicosociale nei pazienti con disturbi psicotici: uno studio caso controllo. In </w:t>
      </w:r>
      <w:r w:rsidRPr="00885F76">
        <w:rPr>
          <w:i/>
          <w:iCs/>
          <w:lang w:eastAsia="it-IT"/>
        </w:rPr>
        <w:t xml:space="preserve">Atti del V Convegno Nazionale di </w:t>
      </w:r>
      <w:proofErr w:type="spellStart"/>
      <w:r w:rsidRPr="00885F76">
        <w:rPr>
          <w:i/>
          <w:iCs/>
          <w:lang w:eastAsia="it-IT"/>
        </w:rPr>
        <w:t>Montagnaterapia</w:t>
      </w:r>
      <w:proofErr w:type="spellEnd"/>
      <w:r w:rsidRPr="00885F76">
        <w:rPr>
          <w:i/>
          <w:iCs/>
          <w:lang w:eastAsia="it-IT"/>
        </w:rPr>
        <w:t xml:space="preserve">. Lo sguardo oltre-Sentieri di salute </w:t>
      </w:r>
      <w:r w:rsidRPr="00885F76">
        <w:rPr>
          <w:lang w:eastAsia="it-IT"/>
        </w:rPr>
        <w:t xml:space="preserve">(Pordenone 16-19 novembre 2016) (pp. 127-132). </w:t>
      </w:r>
      <w:r w:rsidRPr="00776342">
        <w:rPr>
          <w:lang w:val="en-US" w:eastAsia="it-IT"/>
        </w:rPr>
        <w:t xml:space="preserve">Bologna: </w:t>
      </w:r>
      <w:proofErr w:type="spellStart"/>
      <w:r w:rsidRPr="00776342">
        <w:rPr>
          <w:lang w:val="en-US" w:eastAsia="it-IT"/>
        </w:rPr>
        <w:t>Persiani</w:t>
      </w:r>
      <w:proofErr w:type="spellEnd"/>
      <w:r w:rsidRPr="00776342">
        <w:rPr>
          <w:lang w:val="en-US" w:eastAsia="it-IT"/>
        </w:rPr>
        <w:t xml:space="preserve">. </w:t>
      </w:r>
    </w:p>
    <w:p w14:paraId="46DB1D04" w14:textId="3EB367FD" w:rsidR="00956D18" w:rsidRDefault="00956D18" w:rsidP="00956D18">
      <w:pPr>
        <w:ind w:left="567" w:hanging="567"/>
        <w:jc w:val="both"/>
        <w:rPr>
          <w:lang w:val="en-US"/>
        </w:rPr>
      </w:pPr>
      <w:r w:rsidRPr="00A8348B">
        <w:rPr>
          <w:lang w:val="en-US"/>
        </w:rPr>
        <w:t xml:space="preserve">Davidson, C., Ewert, A., &amp; Chang, Y. (2016). Multiple Methods for Identifying Outcomes of a High Challenge Adventure Activity. </w:t>
      </w:r>
      <w:r w:rsidRPr="00A8348B">
        <w:rPr>
          <w:i/>
          <w:iCs/>
          <w:lang w:val="en-US"/>
        </w:rPr>
        <w:t>Journal of Experiential Education</w:t>
      </w:r>
      <w:r w:rsidRPr="00A8348B">
        <w:rPr>
          <w:lang w:val="en-US"/>
        </w:rPr>
        <w:t>, 39.</w:t>
      </w:r>
      <w:r w:rsidR="00BD2CBC">
        <w:rPr>
          <w:lang w:val="en-US"/>
        </w:rPr>
        <w:t xml:space="preserve"> </w:t>
      </w:r>
      <w:hyperlink r:id="rId11" w:history="1">
        <w:r w:rsidR="00BD2CBC" w:rsidRPr="00FC425F">
          <w:rPr>
            <w:rStyle w:val="Collegamentoipertestuale"/>
            <w:lang w:val="en-US"/>
          </w:rPr>
          <w:t>https://doi.org/10.1177/1053825916634116</w:t>
        </w:r>
      </w:hyperlink>
      <w:r w:rsidR="00BD2CBC">
        <w:rPr>
          <w:lang w:val="en-US"/>
        </w:rPr>
        <w:t xml:space="preserve"> </w:t>
      </w:r>
    </w:p>
    <w:p w14:paraId="5EF50668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Davidson, L. (2001). Qualitative Research and Making Meaning from Adventure: A Case Study of Boys’ Experiences of Outdoor Education at School. </w:t>
      </w:r>
      <w:r w:rsidRPr="00736CC7">
        <w:rPr>
          <w:i/>
          <w:iCs/>
          <w:lang w:val="en-US" w:eastAsia="it-IT"/>
        </w:rPr>
        <w:t>Journal of Adventure Education and Outdoor Learning</w:t>
      </w:r>
      <w:r w:rsidRPr="00736CC7">
        <w:rPr>
          <w:lang w:val="en-US" w:eastAsia="it-IT"/>
        </w:rPr>
        <w:t xml:space="preserve">, (1)2, 11-20. </w:t>
      </w:r>
      <w:hyperlink r:id="rId12" w:history="1">
        <w:r w:rsidRPr="00736CC7">
          <w:rPr>
            <w:rStyle w:val="Collegamentoipertestuale"/>
            <w:lang w:val="en-US" w:eastAsia="it-IT"/>
          </w:rPr>
          <w:t>https://doi.org/10.1080/14729670185200041</w:t>
        </w:r>
      </w:hyperlink>
      <w:r w:rsidRPr="00736CC7">
        <w:rPr>
          <w:lang w:val="en-US" w:eastAsia="it-IT"/>
        </w:rPr>
        <w:t xml:space="preserve"> </w:t>
      </w:r>
    </w:p>
    <w:p w14:paraId="7903A975" w14:textId="77777777" w:rsidR="00956D18" w:rsidRPr="00776342" w:rsidRDefault="00956D18" w:rsidP="00956D18">
      <w:pPr>
        <w:ind w:left="567" w:hanging="567"/>
        <w:jc w:val="both"/>
        <w:rPr>
          <w:lang w:val="en-US" w:eastAsia="it-IT"/>
        </w:rPr>
      </w:pPr>
      <w:r w:rsidRPr="00885F76">
        <w:rPr>
          <w:lang w:eastAsia="it-IT"/>
        </w:rPr>
        <w:t xml:space="preserve">Galiazzo, M. (2018). </w:t>
      </w:r>
      <w:r w:rsidRPr="00885F76">
        <w:rPr>
          <w:i/>
          <w:iCs/>
          <w:lang w:eastAsia="it-IT"/>
        </w:rPr>
        <w:t xml:space="preserve">Giochi per adulti in natura II. </w:t>
      </w:r>
      <w:proofErr w:type="spellStart"/>
      <w:r w:rsidRPr="00885F76">
        <w:rPr>
          <w:i/>
          <w:iCs/>
          <w:lang w:eastAsia="it-IT"/>
        </w:rPr>
        <w:t>Equilibero</w:t>
      </w:r>
      <w:proofErr w:type="spellEnd"/>
      <w:r w:rsidRPr="00885F76">
        <w:rPr>
          <w:i/>
          <w:iCs/>
          <w:lang w:eastAsia="it-IT"/>
        </w:rPr>
        <w:t xml:space="preserve"> e le pratiche educative</w:t>
      </w:r>
      <w:r w:rsidRPr="00885F76">
        <w:rPr>
          <w:lang w:eastAsia="it-IT"/>
        </w:rPr>
        <w:t xml:space="preserve">. </w:t>
      </w:r>
      <w:r w:rsidRPr="00776342">
        <w:rPr>
          <w:lang w:val="en-US" w:eastAsia="it-IT"/>
        </w:rPr>
        <w:t xml:space="preserve">Bologna: </w:t>
      </w:r>
      <w:proofErr w:type="spellStart"/>
      <w:r w:rsidRPr="00776342">
        <w:rPr>
          <w:lang w:val="en-US" w:eastAsia="it-IT"/>
        </w:rPr>
        <w:t>Persiani</w:t>
      </w:r>
      <w:proofErr w:type="spellEnd"/>
      <w:r w:rsidRPr="00776342">
        <w:rPr>
          <w:lang w:val="en-US" w:eastAsia="it-IT"/>
        </w:rPr>
        <w:t xml:space="preserve">. </w:t>
      </w:r>
    </w:p>
    <w:p w14:paraId="49200C70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76342">
        <w:rPr>
          <w:lang w:val="en-US" w:eastAsia="it-IT"/>
        </w:rPr>
        <w:t xml:space="preserve">Gillis, H. L., &amp; </w:t>
      </w:r>
      <w:proofErr w:type="spellStart"/>
      <w:r w:rsidRPr="00776342">
        <w:rPr>
          <w:lang w:val="en-US" w:eastAsia="it-IT"/>
        </w:rPr>
        <w:t>Speelman</w:t>
      </w:r>
      <w:proofErr w:type="spellEnd"/>
      <w:r w:rsidRPr="00776342">
        <w:rPr>
          <w:lang w:val="en-US" w:eastAsia="it-IT"/>
        </w:rPr>
        <w:t xml:space="preserve">, E. (2008). </w:t>
      </w:r>
      <w:r w:rsidRPr="00736CC7">
        <w:rPr>
          <w:lang w:val="en-US" w:eastAsia="it-IT"/>
        </w:rPr>
        <w:t xml:space="preserve">Are Challenge (Ropes) Courses an Effective Tool? A Meta-Analysis. </w:t>
      </w:r>
      <w:r w:rsidRPr="00736CC7">
        <w:rPr>
          <w:i/>
          <w:iCs/>
          <w:lang w:val="en-US" w:eastAsia="it-IT"/>
        </w:rPr>
        <w:t>Journal of Experiential Education</w:t>
      </w:r>
      <w:r w:rsidRPr="00736CC7">
        <w:rPr>
          <w:lang w:val="en-US" w:eastAsia="it-IT"/>
        </w:rPr>
        <w:t xml:space="preserve">, 31(2), 111-135. </w:t>
      </w:r>
      <w:hyperlink r:id="rId13" w:history="1">
        <w:r w:rsidRPr="00736CC7">
          <w:rPr>
            <w:rStyle w:val="Collegamentoipertestuale"/>
            <w:lang w:val="en-US" w:eastAsia="it-IT"/>
          </w:rPr>
          <w:t>https://doi.org/10.1177/105382590803100202</w:t>
        </w:r>
      </w:hyperlink>
      <w:r w:rsidRPr="00736CC7">
        <w:rPr>
          <w:lang w:val="en-US" w:eastAsia="it-IT"/>
        </w:rPr>
        <w:t xml:space="preserve"> </w:t>
      </w:r>
    </w:p>
    <w:p w14:paraId="6D8A07BE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Hans, T. A. (2000). A Meta-Analysis of the Effects of Adventure Programming on Locus of Control. </w:t>
      </w:r>
      <w:r w:rsidRPr="00736CC7">
        <w:rPr>
          <w:i/>
          <w:iCs/>
          <w:lang w:val="en-US" w:eastAsia="it-IT"/>
        </w:rPr>
        <w:t>Journal of Contemporary Psychotherapy</w:t>
      </w:r>
      <w:r w:rsidRPr="00736CC7">
        <w:rPr>
          <w:lang w:val="en-US" w:eastAsia="it-IT"/>
        </w:rPr>
        <w:t xml:space="preserve">, 30(1), 33-60. </w:t>
      </w:r>
      <w:hyperlink r:id="rId14" w:history="1">
        <w:r w:rsidRPr="00736CC7">
          <w:rPr>
            <w:rStyle w:val="Collegamentoipertestuale"/>
            <w:lang w:val="en-US" w:eastAsia="it-IT"/>
          </w:rPr>
          <w:t>https://doi.org/10.1023/A:1003649031834</w:t>
        </w:r>
      </w:hyperlink>
      <w:r w:rsidRPr="00736CC7">
        <w:rPr>
          <w:lang w:val="en-US" w:eastAsia="it-IT"/>
        </w:rPr>
        <w:t xml:space="preserve"> </w:t>
      </w:r>
    </w:p>
    <w:p w14:paraId="6357E2CE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Hattie, J., Marsh, H. W., Neill, J. T., &amp; Richards, G. E. (1997). Adventure Education and Outward Bound: Out-of-Class Experiences That Make a Lasting Difference. </w:t>
      </w:r>
      <w:r w:rsidRPr="00736CC7">
        <w:rPr>
          <w:i/>
          <w:iCs/>
          <w:lang w:val="en-US" w:eastAsia="it-IT"/>
        </w:rPr>
        <w:t>Review of Educational Research</w:t>
      </w:r>
      <w:r w:rsidRPr="00736CC7">
        <w:rPr>
          <w:lang w:val="en-US" w:eastAsia="it-IT"/>
        </w:rPr>
        <w:t xml:space="preserve">, 67(1), 43-87. </w:t>
      </w:r>
      <w:hyperlink r:id="rId15" w:history="1">
        <w:r w:rsidRPr="00736CC7">
          <w:rPr>
            <w:rStyle w:val="Collegamentoipertestuale"/>
            <w:lang w:val="en-US" w:eastAsia="it-IT"/>
          </w:rPr>
          <w:t>https://doi.org/10.3102/00346543067001043</w:t>
        </w:r>
      </w:hyperlink>
      <w:r w:rsidRPr="00736CC7">
        <w:rPr>
          <w:lang w:val="en-US" w:eastAsia="it-IT"/>
        </w:rPr>
        <w:t xml:space="preserve"> </w:t>
      </w:r>
    </w:p>
    <w:p w14:paraId="7F2D925C" w14:textId="4EF01B51" w:rsidR="00776342" w:rsidRDefault="00776342" w:rsidP="00776342">
      <w:pPr>
        <w:ind w:left="567" w:hanging="567"/>
        <w:jc w:val="both"/>
        <w:rPr>
          <w:lang w:val="en-US"/>
        </w:rPr>
      </w:pPr>
      <w:r w:rsidRPr="00A8348B">
        <w:rPr>
          <w:lang w:val="en-US"/>
        </w:rPr>
        <w:t>Hodgson, C., &amp; Berry, M. (Eds.)</w:t>
      </w:r>
      <w:r>
        <w:rPr>
          <w:lang w:val="en-US"/>
        </w:rPr>
        <w:t xml:space="preserve"> </w:t>
      </w:r>
      <w:r w:rsidRPr="00A8348B">
        <w:rPr>
          <w:lang w:val="en-US"/>
        </w:rPr>
        <w:t xml:space="preserve">(2011). </w:t>
      </w:r>
      <w:r w:rsidRPr="00A8348B">
        <w:rPr>
          <w:i/>
          <w:iCs/>
          <w:lang w:val="en-US"/>
        </w:rPr>
        <w:t>Adventure education: An introduction</w:t>
      </w:r>
      <w:r w:rsidRPr="00A8348B">
        <w:rPr>
          <w:lang w:val="en-US"/>
        </w:rPr>
        <w:t>. Taylor &amp; Francis</w:t>
      </w:r>
      <w:r w:rsidRPr="00A8348B">
        <w:rPr>
          <w:lang w:val="en-US" w:eastAsia="it-IT"/>
        </w:rPr>
        <w:t xml:space="preserve"> </w:t>
      </w:r>
      <w:r w:rsidRPr="00A8348B">
        <w:rPr>
          <w:lang w:val="en-US"/>
        </w:rPr>
        <w:t>Group.</w:t>
      </w:r>
    </w:p>
    <w:p w14:paraId="3E9F0377" w14:textId="61C7B6A9" w:rsidR="00776342" w:rsidRPr="00776342" w:rsidRDefault="00776342" w:rsidP="00776342">
      <w:pPr>
        <w:ind w:left="567" w:hanging="567"/>
        <w:jc w:val="both"/>
        <w:rPr>
          <w:lang w:val="en-US" w:eastAsia="it-IT"/>
        </w:rPr>
      </w:pPr>
      <w:proofErr w:type="spellStart"/>
      <w:r w:rsidRPr="00776342">
        <w:rPr>
          <w:lang w:val="en-US" w:eastAsia="it-IT"/>
        </w:rPr>
        <w:t>Humberstone</w:t>
      </w:r>
      <w:proofErr w:type="spellEnd"/>
      <w:r w:rsidRPr="00776342">
        <w:rPr>
          <w:lang w:val="en-US" w:eastAsia="it-IT"/>
        </w:rPr>
        <w:t xml:space="preserve">, </w:t>
      </w:r>
      <w:r>
        <w:rPr>
          <w:lang w:val="en-US" w:eastAsia="it-IT"/>
        </w:rPr>
        <w:t xml:space="preserve">B., </w:t>
      </w:r>
      <w:r w:rsidRPr="00776342">
        <w:rPr>
          <w:lang w:val="en-US" w:eastAsia="it-IT"/>
        </w:rPr>
        <w:t>Prince,</w:t>
      </w:r>
      <w:r>
        <w:rPr>
          <w:lang w:val="en-US" w:eastAsia="it-IT"/>
        </w:rPr>
        <w:t xml:space="preserve"> H., &amp;</w:t>
      </w:r>
      <w:r w:rsidRPr="00776342">
        <w:rPr>
          <w:lang w:val="en-US" w:eastAsia="it-IT"/>
        </w:rPr>
        <w:t xml:space="preserve"> Henderson</w:t>
      </w:r>
      <w:r>
        <w:rPr>
          <w:lang w:val="en-US" w:eastAsia="it-IT"/>
        </w:rPr>
        <w:t>, K. A. (Eds.)</w:t>
      </w:r>
      <w:r w:rsidRPr="00776342">
        <w:rPr>
          <w:lang w:val="en-US" w:eastAsia="it-IT"/>
        </w:rPr>
        <w:t xml:space="preserve"> (2016). </w:t>
      </w:r>
      <w:r w:rsidRPr="00776342">
        <w:rPr>
          <w:i/>
          <w:iCs/>
          <w:lang w:val="en-US" w:eastAsia="it-IT"/>
        </w:rPr>
        <w:t>Routledge International Handbook of Outdoor Studies</w:t>
      </w:r>
      <w:r>
        <w:rPr>
          <w:lang w:val="en-US" w:eastAsia="it-IT"/>
        </w:rPr>
        <w:t>. London: Routledge.</w:t>
      </w:r>
    </w:p>
    <w:p w14:paraId="6D535030" w14:textId="620544CF" w:rsidR="00956D18" w:rsidRPr="00F83488" w:rsidRDefault="00956D18" w:rsidP="00956D18">
      <w:pPr>
        <w:ind w:left="567" w:hanging="567"/>
        <w:jc w:val="both"/>
        <w:rPr>
          <w:lang w:eastAsia="it-IT"/>
        </w:rPr>
      </w:pPr>
      <w:r w:rsidRPr="00233957">
        <w:rPr>
          <w:lang w:eastAsia="it-IT"/>
        </w:rPr>
        <w:t xml:space="preserve">Le </w:t>
      </w:r>
      <w:proofErr w:type="spellStart"/>
      <w:r w:rsidRPr="00233957">
        <w:rPr>
          <w:lang w:eastAsia="it-IT"/>
        </w:rPr>
        <w:t>Poultier</w:t>
      </w:r>
      <w:proofErr w:type="spellEnd"/>
      <w:r w:rsidRPr="00233957">
        <w:rPr>
          <w:lang w:eastAsia="it-IT"/>
        </w:rPr>
        <w:t xml:space="preserve">, F., &amp; </w:t>
      </w:r>
      <w:proofErr w:type="spellStart"/>
      <w:r w:rsidRPr="00233957">
        <w:rPr>
          <w:lang w:eastAsia="it-IT"/>
        </w:rPr>
        <w:t>Guingouain</w:t>
      </w:r>
      <w:proofErr w:type="spellEnd"/>
      <w:r w:rsidRPr="00233957">
        <w:rPr>
          <w:lang w:eastAsia="it-IT"/>
        </w:rPr>
        <w:t>, G. (1996). Nuovi paradigmi metodologici in psicologia sociale? In C. Regalia, &amp; G. Scaratti, G. (</w:t>
      </w:r>
      <w:proofErr w:type="spellStart"/>
      <w:r w:rsidRPr="00233957">
        <w:rPr>
          <w:lang w:eastAsia="it-IT"/>
        </w:rPr>
        <w:t>Eds</w:t>
      </w:r>
      <w:proofErr w:type="spellEnd"/>
      <w:r w:rsidRPr="00233957">
        <w:rPr>
          <w:lang w:eastAsia="it-IT"/>
        </w:rPr>
        <w:t xml:space="preserve">.), </w:t>
      </w:r>
      <w:r w:rsidRPr="00233957">
        <w:rPr>
          <w:i/>
          <w:iCs/>
          <w:lang w:eastAsia="it-IT"/>
        </w:rPr>
        <w:t>Conoscenza e azione nel lavoro sociale</w:t>
      </w:r>
      <w:r w:rsidRPr="00233957">
        <w:rPr>
          <w:lang w:eastAsia="it-IT"/>
        </w:rPr>
        <w:t xml:space="preserve"> (pp.73-96). </w:t>
      </w:r>
      <w:r w:rsidRPr="00F83488">
        <w:rPr>
          <w:lang w:eastAsia="it-IT"/>
        </w:rPr>
        <w:t>Armando. </w:t>
      </w:r>
    </w:p>
    <w:p w14:paraId="303831C2" w14:textId="77777777" w:rsidR="00956D18" w:rsidRPr="00F83488" w:rsidRDefault="00956D18" w:rsidP="00956D18">
      <w:pPr>
        <w:ind w:left="567" w:hanging="567"/>
        <w:jc w:val="both"/>
        <w:rPr>
          <w:lang w:eastAsia="it-IT"/>
        </w:rPr>
      </w:pPr>
      <w:r w:rsidRPr="00F83488">
        <w:rPr>
          <w:lang w:eastAsia="it-IT"/>
        </w:rPr>
        <w:t xml:space="preserve">Le </w:t>
      </w:r>
      <w:proofErr w:type="spellStart"/>
      <w:r w:rsidRPr="00F83488">
        <w:rPr>
          <w:lang w:eastAsia="it-IT"/>
        </w:rPr>
        <w:t>Poultier</w:t>
      </w:r>
      <w:proofErr w:type="spellEnd"/>
      <w:r w:rsidRPr="00F83488">
        <w:rPr>
          <w:lang w:eastAsia="it-IT"/>
        </w:rPr>
        <w:t xml:space="preserve">, F. (1990). </w:t>
      </w:r>
      <w:proofErr w:type="spellStart"/>
      <w:r w:rsidRPr="00F83488">
        <w:rPr>
          <w:i/>
          <w:iCs/>
          <w:lang w:eastAsia="it-IT"/>
        </w:rPr>
        <w:t>Recherches</w:t>
      </w:r>
      <w:proofErr w:type="spellEnd"/>
      <w:r w:rsidRPr="00F83488">
        <w:rPr>
          <w:i/>
          <w:iCs/>
          <w:lang w:eastAsia="it-IT"/>
        </w:rPr>
        <w:t xml:space="preserve"> </w:t>
      </w:r>
      <w:proofErr w:type="spellStart"/>
      <w:r w:rsidRPr="00F83488">
        <w:rPr>
          <w:i/>
          <w:iCs/>
          <w:lang w:eastAsia="it-IT"/>
        </w:rPr>
        <w:t>évaluatives</w:t>
      </w:r>
      <w:proofErr w:type="spellEnd"/>
      <w:r w:rsidRPr="00F83488">
        <w:rPr>
          <w:i/>
          <w:iCs/>
          <w:lang w:eastAsia="it-IT"/>
        </w:rPr>
        <w:t xml:space="preserve"> en </w:t>
      </w:r>
      <w:proofErr w:type="spellStart"/>
      <w:r w:rsidRPr="00F83488">
        <w:rPr>
          <w:i/>
          <w:iCs/>
          <w:lang w:eastAsia="it-IT"/>
        </w:rPr>
        <w:t>travail</w:t>
      </w:r>
      <w:proofErr w:type="spellEnd"/>
      <w:r w:rsidRPr="00F83488">
        <w:rPr>
          <w:i/>
          <w:iCs/>
          <w:lang w:eastAsia="it-IT"/>
        </w:rPr>
        <w:t xml:space="preserve"> social</w:t>
      </w:r>
      <w:r w:rsidRPr="00F83488">
        <w:rPr>
          <w:lang w:eastAsia="it-IT"/>
        </w:rPr>
        <w:t xml:space="preserve">. </w:t>
      </w:r>
      <w:proofErr w:type="spellStart"/>
      <w:r w:rsidRPr="00F83488">
        <w:rPr>
          <w:lang w:eastAsia="it-IT"/>
        </w:rPr>
        <w:t>Presses</w:t>
      </w:r>
      <w:proofErr w:type="spellEnd"/>
      <w:r w:rsidRPr="00F83488">
        <w:rPr>
          <w:lang w:eastAsia="it-IT"/>
        </w:rPr>
        <w:t xml:space="preserve"> </w:t>
      </w:r>
      <w:proofErr w:type="spellStart"/>
      <w:r w:rsidRPr="00F83488">
        <w:rPr>
          <w:lang w:eastAsia="it-IT"/>
        </w:rPr>
        <w:t>Universitaires</w:t>
      </w:r>
      <w:proofErr w:type="spellEnd"/>
      <w:r w:rsidRPr="00F83488">
        <w:rPr>
          <w:lang w:eastAsia="it-IT"/>
        </w:rPr>
        <w:t xml:space="preserve"> de Grenoble.</w:t>
      </w:r>
    </w:p>
    <w:p w14:paraId="76D99DBD" w14:textId="77777777" w:rsidR="00956D18" w:rsidRPr="00434D9F" w:rsidRDefault="00956D18" w:rsidP="00956D18">
      <w:pPr>
        <w:ind w:left="567" w:hanging="567"/>
        <w:jc w:val="both"/>
        <w:rPr>
          <w:lang w:eastAsia="it-IT"/>
        </w:rPr>
      </w:pPr>
      <w:proofErr w:type="spellStart"/>
      <w:r w:rsidRPr="00434D9F">
        <w:rPr>
          <w:lang w:eastAsia="it-IT"/>
        </w:rPr>
        <w:t>Magnaguagno</w:t>
      </w:r>
      <w:proofErr w:type="spellEnd"/>
      <w:r w:rsidRPr="00434D9F">
        <w:rPr>
          <w:lang w:eastAsia="it-IT"/>
        </w:rPr>
        <w:t xml:space="preserve">, F., </w:t>
      </w:r>
      <w:proofErr w:type="spellStart"/>
      <w:r w:rsidRPr="00434D9F">
        <w:rPr>
          <w:lang w:eastAsia="it-IT"/>
        </w:rPr>
        <w:t>Murrone</w:t>
      </w:r>
      <w:proofErr w:type="spellEnd"/>
      <w:r w:rsidRPr="00434D9F">
        <w:rPr>
          <w:lang w:eastAsia="it-IT"/>
        </w:rPr>
        <w:t xml:space="preserve">, A., &amp; Miletto, R. (2010). Bisogni educativi speciali, nature deficit </w:t>
      </w:r>
      <w:proofErr w:type="spellStart"/>
      <w:r w:rsidRPr="00434D9F">
        <w:rPr>
          <w:lang w:eastAsia="it-IT"/>
        </w:rPr>
        <w:t>desorder</w:t>
      </w:r>
      <w:proofErr w:type="spellEnd"/>
      <w:r w:rsidRPr="00434D9F">
        <w:rPr>
          <w:lang w:eastAsia="it-IT"/>
        </w:rPr>
        <w:t xml:space="preserve"> e </w:t>
      </w:r>
      <w:proofErr w:type="spellStart"/>
      <w:r w:rsidRPr="00434D9F">
        <w:rPr>
          <w:lang w:eastAsia="it-IT"/>
        </w:rPr>
        <w:t>montagnaterapia</w:t>
      </w:r>
      <w:proofErr w:type="spellEnd"/>
      <w:r w:rsidRPr="00434D9F">
        <w:rPr>
          <w:lang w:eastAsia="it-IT"/>
        </w:rPr>
        <w:t xml:space="preserve"> in </w:t>
      </w:r>
      <w:proofErr w:type="spellStart"/>
      <w:r w:rsidRPr="00434D9F">
        <w:rPr>
          <w:lang w:eastAsia="it-IT"/>
        </w:rPr>
        <w:t>eta</w:t>
      </w:r>
      <w:proofErr w:type="spellEnd"/>
      <w:r w:rsidRPr="00434D9F">
        <w:rPr>
          <w:lang w:eastAsia="it-IT"/>
        </w:rPr>
        <w:t xml:space="preserve"> evolutiva: una proposta di intervento con ragazzi con bisogni educativi speciali (</w:t>
      </w:r>
      <w:proofErr w:type="spellStart"/>
      <w:r w:rsidRPr="00434D9F">
        <w:rPr>
          <w:lang w:eastAsia="it-IT"/>
        </w:rPr>
        <w:t>bes</w:t>
      </w:r>
      <w:proofErr w:type="spellEnd"/>
      <w:r w:rsidRPr="00434D9F">
        <w:rPr>
          <w:lang w:eastAsia="it-IT"/>
        </w:rPr>
        <w:t xml:space="preserve">). In F. Lanfranchi, A. </w:t>
      </w:r>
      <w:proofErr w:type="spellStart"/>
      <w:r w:rsidRPr="00434D9F">
        <w:rPr>
          <w:lang w:eastAsia="it-IT"/>
        </w:rPr>
        <w:t>Frecchiami</w:t>
      </w:r>
      <w:proofErr w:type="spellEnd"/>
      <w:r w:rsidRPr="00434D9F">
        <w:rPr>
          <w:lang w:eastAsia="it-IT"/>
        </w:rPr>
        <w:t xml:space="preserve"> &amp; I. Gentili (</w:t>
      </w:r>
      <w:proofErr w:type="spellStart"/>
      <w:r w:rsidRPr="00434D9F">
        <w:rPr>
          <w:lang w:eastAsia="it-IT"/>
        </w:rPr>
        <w:t>eds</w:t>
      </w:r>
      <w:proofErr w:type="spellEnd"/>
      <w:r w:rsidRPr="00434D9F">
        <w:rPr>
          <w:lang w:eastAsia="it-IT"/>
        </w:rPr>
        <w:t xml:space="preserve">.), </w:t>
      </w:r>
      <w:r w:rsidRPr="00434D9F">
        <w:rPr>
          <w:i/>
          <w:iCs/>
          <w:lang w:eastAsia="it-IT"/>
        </w:rPr>
        <w:t xml:space="preserve">Atti del Convegno Nazionale Sentieri di salute. La Montagna che cura </w:t>
      </w:r>
      <w:r w:rsidRPr="00434D9F">
        <w:rPr>
          <w:lang w:eastAsia="it-IT"/>
        </w:rPr>
        <w:t xml:space="preserve">(Bergamo 12-13 novembre 2010) (p. 85-102). Bergamo: Giordano Santini. </w:t>
      </w:r>
    </w:p>
    <w:p w14:paraId="42AA73D4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76342">
        <w:rPr>
          <w:lang w:val="en-US" w:eastAsia="it-IT"/>
        </w:rPr>
        <w:lastRenderedPageBreak/>
        <w:t xml:space="preserve">Neill, J. T. (2008). </w:t>
      </w:r>
      <w:r w:rsidRPr="00736CC7">
        <w:rPr>
          <w:i/>
          <w:iCs/>
          <w:lang w:val="en-US" w:eastAsia="it-IT"/>
        </w:rPr>
        <w:t>Enhancing Life Effectiveness: The Impacts of Outdoor Education Programs</w:t>
      </w:r>
      <w:r w:rsidRPr="00736CC7">
        <w:rPr>
          <w:lang w:val="en-US" w:eastAsia="it-IT"/>
        </w:rPr>
        <w:t xml:space="preserve">. [Unpublished Doctoral Dissertation]. University of Western Sydney. Retrieved August 27, 2021, from </w:t>
      </w:r>
      <w:hyperlink r:id="rId16" w:history="1">
        <w:r w:rsidRPr="00736CC7">
          <w:rPr>
            <w:rStyle w:val="Collegamentoipertestuale"/>
            <w:lang w:val="en-US" w:eastAsia="it-IT"/>
          </w:rPr>
          <w:t>http://handle.uws.edu.au:8081/1959.7/40186</w:t>
        </w:r>
      </w:hyperlink>
      <w:r w:rsidRPr="00736CC7">
        <w:rPr>
          <w:lang w:val="en-US" w:eastAsia="it-IT"/>
        </w:rPr>
        <w:t xml:space="preserve"> </w:t>
      </w:r>
    </w:p>
    <w:p w14:paraId="202A670F" w14:textId="77777777" w:rsidR="00956D18" w:rsidRPr="00F83488" w:rsidRDefault="00956D18" w:rsidP="00956D18">
      <w:pPr>
        <w:ind w:left="567" w:hanging="567"/>
        <w:jc w:val="both"/>
        <w:rPr>
          <w:lang w:eastAsia="it-IT"/>
        </w:rPr>
      </w:pPr>
      <w:r w:rsidRPr="00736CC7">
        <w:rPr>
          <w:lang w:val="en-US" w:eastAsia="it-IT"/>
        </w:rPr>
        <w:t xml:space="preserve">Neill, J. T., &amp; Richards, G. E. (1998). Does Outdoor Education Really Work? A Summary </w:t>
      </w:r>
      <w:proofErr w:type="gramStart"/>
      <w:r w:rsidRPr="00736CC7">
        <w:rPr>
          <w:lang w:val="en-US" w:eastAsia="it-IT"/>
        </w:rPr>
        <w:t>Of</w:t>
      </w:r>
      <w:proofErr w:type="gramEnd"/>
      <w:r w:rsidRPr="00736CC7">
        <w:rPr>
          <w:lang w:val="en-US" w:eastAsia="it-IT"/>
        </w:rPr>
        <w:t xml:space="preserve"> Recent Meta-Analyses. </w:t>
      </w:r>
      <w:r w:rsidRPr="00736CC7">
        <w:rPr>
          <w:i/>
          <w:iCs/>
          <w:lang w:val="en-US" w:eastAsia="it-IT"/>
        </w:rPr>
        <w:t>Australian Journal of Outdoor Education</w:t>
      </w:r>
      <w:r w:rsidRPr="00736CC7">
        <w:rPr>
          <w:lang w:val="en-US" w:eastAsia="it-IT"/>
        </w:rPr>
        <w:t xml:space="preserve">, 3(1), 1-9. </w:t>
      </w:r>
      <w:hyperlink r:id="rId17" w:history="1">
        <w:r w:rsidRPr="00F83488">
          <w:rPr>
            <w:rStyle w:val="Collegamentoipertestuale"/>
            <w:lang w:eastAsia="it-IT"/>
          </w:rPr>
          <w:t>https://doi.org/10.1007/BF03400671</w:t>
        </w:r>
      </w:hyperlink>
      <w:r w:rsidRPr="00F83488">
        <w:rPr>
          <w:lang w:eastAsia="it-IT"/>
        </w:rPr>
        <w:t xml:space="preserve"> </w:t>
      </w:r>
    </w:p>
    <w:p w14:paraId="0FD49F4A" w14:textId="77777777" w:rsidR="00956D18" w:rsidRPr="00F83488" w:rsidRDefault="00956D18" w:rsidP="00956D18">
      <w:pPr>
        <w:ind w:left="567" w:hanging="567"/>
        <w:jc w:val="both"/>
        <w:rPr>
          <w:lang w:val="en-US" w:eastAsia="it-IT"/>
        </w:rPr>
      </w:pPr>
      <w:r w:rsidRPr="00434D9F">
        <w:rPr>
          <w:lang w:eastAsia="it-IT"/>
        </w:rPr>
        <w:t xml:space="preserve">Pasqualotto, L. (ed.) (2016). </w:t>
      </w:r>
      <w:r w:rsidRPr="00434D9F">
        <w:rPr>
          <w:i/>
          <w:iCs/>
          <w:lang w:eastAsia="it-IT"/>
        </w:rPr>
        <w:t>ICF-Dipendenze. Un set di strumenti per programmare e valutare la riabilitazione nelle dipendenze patologiche</w:t>
      </w:r>
      <w:r w:rsidRPr="00434D9F">
        <w:rPr>
          <w:lang w:eastAsia="it-IT"/>
        </w:rPr>
        <w:t xml:space="preserve">. </w:t>
      </w:r>
      <w:r w:rsidRPr="00F83488">
        <w:rPr>
          <w:lang w:val="en-US" w:eastAsia="it-IT"/>
        </w:rPr>
        <w:t>Trento: Erickson.</w:t>
      </w:r>
    </w:p>
    <w:p w14:paraId="6AEF9D64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proofErr w:type="spellStart"/>
      <w:r w:rsidRPr="00736CC7">
        <w:rPr>
          <w:lang w:val="en-US" w:eastAsia="it-IT"/>
        </w:rPr>
        <w:t>Rickinson</w:t>
      </w:r>
      <w:proofErr w:type="spellEnd"/>
      <w:r w:rsidRPr="00736CC7">
        <w:rPr>
          <w:lang w:val="en-US" w:eastAsia="it-IT"/>
        </w:rPr>
        <w:t xml:space="preserve">, M., Dillon, J., </w:t>
      </w:r>
      <w:proofErr w:type="spellStart"/>
      <w:r w:rsidRPr="00736CC7">
        <w:rPr>
          <w:lang w:val="en-US" w:eastAsia="it-IT"/>
        </w:rPr>
        <w:t>Teamey</w:t>
      </w:r>
      <w:proofErr w:type="spellEnd"/>
      <w:r w:rsidRPr="00736CC7">
        <w:rPr>
          <w:lang w:val="en-US" w:eastAsia="it-IT"/>
        </w:rPr>
        <w:t xml:space="preserve">, K., Morris, M., Choi, M. Y., Sanders, D., &amp; Benefield, P. (2004). </w:t>
      </w:r>
      <w:r w:rsidRPr="00736CC7">
        <w:rPr>
          <w:i/>
          <w:iCs/>
          <w:lang w:val="en-US" w:eastAsia="it-IT"/>
        </w:rPr>
        <w:t>A review of Research on Outdoor Learning</w:t>
      </w:r>
      <w:r w:rsidRPr="00736CC7">
        <w:rPr>
          <w:lang w:val="en-US" w:eastAsia="it-IT"/>
        </w:rPr>
        <w:t>. National Foundation for Educational Research and King’s College London.</w:t>
      </w:r>
    </w:p>
    <w:p w14:paraId="0575F86C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eastAsia="it-IT"/>
        </w:rPr>
        <w:t xml:space="preserve">Russel, K., &amp; Gillis, H. L. (2017). </w:t>
      </w:r>
      <w:r w:rsidRPr="00736CC7">
        <w:rPr>
          <w:lang w:val="en-US" w:eastAsia="it-IT"/>
        </w:rPr>
        <w:t xml:space="preserve">The adventure therapy experience scale: The psychometric properties of a scale to measure the unique factors moderating an adventure therapy experience. </w:t>
      </w:r>
      <w:r w:rsidRPr="00736CC7">
        <w:rPr>
          <w:i/>
          <w:iCs/>
          <w:lang w:val="en-US" w:eastAsia="it-IT"/>
        </w:rPr>
        <w:t>Journal of Experiential Education</w:t>
      </w:r>
      <w:r w:rsidRPr="00736CC7">
        <w:rPr>
          <w:lang w:val="en-US" w:eastAsia="it-IT"/>
        </w:rPr>
        <w:t xml:space="preserve">, 40(2), 135-152. </w:t>
      </w:r>
      <w:hyperlink r:id="rId18" w:history="1">
        <w:r w:rsidRPr="00736CC7">
          <w:rPr>
            <w:rStyle w:val="Collegamentoipertestuale"/>
            <w:lang w:val="en-US" w:eastAsia="it-IT"/>
          </w:rPr>
          <w:t>https://doi.org/10.1177/1053825917690541</w:t>
        </w:r>
      </w:hyperlink>
      <w:r w:rsidRPr="00736CC7">
        <w:rPr>
          <w:lang w:val="en-US" w:eastAsia="it-IT"/>
        </w:rPr>
        <w:t xml:space="preserve"> </w:t>
      </w:r>
    </w:p>
    <w:p w14:paraId="27E9E9CA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proofErr w:type="spellStart"/>
      <w:r w:rsidRPr="00736CC7">
        <w:rPr>
          <w:lang w:val="en-US" w:eastAsia="it-IT"/>
        </w:rPr>
        <w:t>Scrutton</w:t>
      </w:r>
      <w:proofErr w:type="spellEnd"/>
      <w:r w:rsidRPr="00736CC7">
        <w:rPr>
          <w:lang w:val="en-US" w:eastAsia="it-IT"/>
        </w:rPr>
        <w:t xml:space="preserve">, R., &amp; </w:t>
      </w:r>
      <w:proofErr w:type="spellStart"/>
      <w:r w:rsidRPr="00736CC7">
        <w:rPr>
          <w:lang w:val="en-US" w:eastAsia="it-IT"/>
        </w:rPr>
        <w:t>Beames</w:t>
      </w:r>
      <w:proofErr w:type="spellEnd"/>
      <w:r w:rsidRPr="00736CC7">
        <w:rPr>
          <w:lang w:val="en-US" w:eastAsia="it-IT"/>
        </w:rPr>
        <w:t xml:space="preserve">, S. (2015). Measuring the Unmeasurable: Upholding Rigor in Quantitative Studies of Personal and Social Development in Outdoor Adventure Education. </w:t>
      </w:r>
      <w:r w:rsidRPr="00736CC7">
        <w:rPr>
          <w:i/>
          <w:iCs/>
          <w:lang w:val="en-US" w:eastAsia="it-IT"/>
        </w:rPr>
        <w:t>Journal of Experiential Education</w:t>
      </w:r>
      <w:r w:rsidRPr="00736CC7">
        <w:rPr>
          <w:lang w:val="en-US" w:eastAsia="it-IT"/>
        </w:rPr>
        <w:t xml:space="preserve">, 38(1), 8-25. </w:t>
      </w:r>
      <w:hyperlink r:id="rId19" w:history="1">
        <w:r w:rsidRPr="00736CC7">
          <w:rPr>
            <w:rStyle w:val="Collegamentoipertestuale"/>
            <w:lang w:val="en-US" w:eastAsia="it-IT"/>
          </w:rPr>
          <w:t>https://doi.org/10.1177/1053825913514730</w:t>
        </w:r>
      </w:hyperlink>
      <w:r w:rsidRPr="00736CC7">
        <w:rPr>
          <w:lang w:val="en-US" w:eastAsia="it-IT"/>
        </w:rPr>
        <w:t xml:space="preserve"> </w:t>
      </w:r>
    </w:p>
    <w:p w14:paraId="53BAC3C5" w14:textId="77777777" w:rsidR="00956D18" w:rsidRPr="00736CC7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Stott, T., Allison, P., </w:t>
      </w:r>
      <w:proofErr w:type="spellStart"/>
      <w:r w:rsidRPr="00736CC7">
        <w:rPr>
          <w:lang w:val="en-US" w:eastAsia="it-IT"/>
        </w:rPr>
        <w:t>Felter</w:t>
      </w:r>
      <w:proofErr w:type="spellEnd"/>
      <w:r w:rsidRPr="00736CC7">
        <w:rPr>
          <w:lang w:val="en-US" w:eastAsia="it-IT"/>
        </w:rPr>
        <w:t xml:space="preserve">, J., &amp; </w:t>
      </w:r>
      <w:proofErr w:type="spellStart"/>
      <w:r w:rsidRPr="00736CC7">
        <w:rPr>
          <w:lang w:val="en-US" w:eastAsia="it-IT"/>
        </w:rPr>
        <w:t>Beames</w:t>
      </w:r>
      <w:proofErr w:type="spellEnd"/>
      <w:r w:rsidRPr="00736CC7">
        <w:rPr>
          <w:lang w:val="en-US" w:eastAsia="it-IT"/>
        </w:rPr>
        <w:t xml:space="preserve">, S. (2015). Personal development on youth expeditions: a literature review and thematic analysis. </w:t>
      </w:r>
      <w:r w:rsidRPr="00736CC7">
        <w:rPr>
          <w:i/>
          <w:iCs/>
          <w:lang w:val="en-US" w:eastAsia="it-IT"/>
        </w:rPr>
        <w:t>Leisure Studies</w:t>
      </w:r>
      <w:r w:rsidRPr="00736CC7">
        <w:rPr>
          <w:lang w:val="en-US" w:eastAsia="it-IT"/>
        </w:rPr>
        <w:t xml:space="preserve">, 34(2), 197-229. </w:t>
      </w:r>
      <w:hyperlink r:id="rId20" w:history="1">
        <w:r w:rsidRPr="00736CC7">
          <w:rPr>
            <w:rStyle w:val="Collegamentoipertestuale"/>
            <w:lang w:val="en-US" w:eastAsia="it-IT"/>
          </w:rPr>
          <w:t>https://doi.org/10.1080/02614367.2013.841744</w:t>
        </w:r>
      </w:hyperlink>
      <w:r w:rsidRPr="00736CC7">
        <w:rPr>
          <w:lang w:val="en-US" w:eastAsia="it-IT"/>
        </w:rPr>
        <w:t xml:space="preserve"> </w:t>
      </w:r>
    </w:p>
    <w:p w14:paraId="64373748" w14:textId="77777777" w:rsidR="00956D18" w:rsidRDefault="00956D18" w:rsidP="00956D18">
      <w:pPr>
        <w:ind w:left="567" w:hanging="567"/>
        <w:jc w:val="both"/>
        <w:rPr>
          <w:lang w:val="en-US" w:eastAsia="it-IT"/>
        </w:rPr>
      </w:pPr>
      <w:r w:rsidRPr="00736CC7">
        <w:rPr>
          <w:lang w:val="en-US" w:eastAsia="it-IT"/>
        </w:rPr>
        <w:t xml:space="preserve">Wichmann, T. (1991). Of wilderness and circles: Evaluating a therapeutic model for wilderness adventure programs. </w:t>
      </w:r>
      <w:r w:rsidRPr="00736CC7">
        <w:rPr>
          <w:i/>
          <w:iCs/>
          <w:lang w:val="en-US" w:eastAsia="it-IT"/>
        </w:rPr>
        <w:t>Journal of Experiential Education</w:t>
      </w:r>
      <w:r w:rsidRPr="00736CC7">
        <w:rPr>
          <w:lang w:val="en-US" w:eastAsia="it-IT"/>
        </w:rPr>
        <w:t xml:space="preserve">, 14 (2), 43-48. </w:t>
      </w:r>
      <w:hyperlink r:id="rId21" w:history="1">
        <w:r w:rsidRPr="00736CC7">
          <w:rPr>
            <w:rStyle w:val="Collegamentoipertestuale"/>
            <w:lang w:val="en-US" w:eastAsia="it-IT"/>
          </w:rPr>
          <w:t>https://doi.org/10.1177/105382599101400208</w:t>
        </w:r>
      </w:hyperlink>
      <w:r w:rsidRPr="00736CC7">
        <w:rPr>
          <w:lang w:val="en-US" w:eastAsia="it-IT"/>
        </w:rPr>
        <w:t xml:space="preserve"> </w:t>
      </w:r>
    </w:p>
    <w:p w14:paraId="3550B77F" w14:textId="77777777" w:rsidR="00956D18" w:rsidRPr="008F57AC" w:rsidRDefault="00956D18" w:rsidP="00956D18">
      <w:pPr>
        <w:pStyle w:val="Nessunaspaziatura"/>
        <w:jc w:val="both"/>
        <w:rPr>
          <w:lang w:val="en-US"/>
        </w:rPr>
      </w:pPr>
    </w:p>
    <w:p w14:paraId="044ED12C" w14:textId="77777777" w:rsidR="006B00CF" w:rsidRDefault="006B00CF"/>
    <w:sectPr w:rsidR="006B00CF" w:rsidSect="004637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54946" w14:textId="77777777" w:rsidR="00FC031D" w:rsidRDefault="00FC031D" w:rsidP="003A1D16">
      <w:r>
        <w:separator/>
      </w:r>
    </w:p>
  </w:endnote>
  <w:endnote w:type="continuationSeparator" w:id="0">
    <w:p w14:paraId="61A66272" w14:textId="77777777" w:rsidR="00FC031D" w:rsidRDefault="00FC031D" w:rsidP="003A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8D94" w14:textId="77777777" w:rsidR="00FC031D" w:rsidRDefault="00FC031D" w:rsidP="003A1D16">
      <w:r>
        <w:separator/>
      </w:r>
    </w:p>
  </w:footnote>
  <w:footnote w:type="continuationSeparator" w:id="0">
    <w:p w14:paraId="3C7127D8" w14:textId="77777777" w:rsidR="00FC031D" w:rsidRDefault="00FC031D" w:rsidP="003A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AB4"/>
    <w:multiLevelType w:val="hybridMultilevel"/>
    <w:tmpl w:val="F9F48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A28"/>
    <w:multiLevelType w:val="hybridMultilevel"/>
    <w:tmpl w:val="ED462482"/>
    <w:lvl w:ilvl="0" w:tplc="B74C937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F061A0"/>
    <w:multiLevelType w:val="hybridMultilevel"/>
    <w:tmpl w:val="0E124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6A8"/>
    <w:multiLevelType w:val="hybridMultilevel"/>
    <w:tmpl w:val="5486171E"/>
    <w:lvl w:ilvl="0" w:tplc="498499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4408"/>
    <w:multiLevelType w:val="hybridMultilevel"/>
    <w:tmpl w:val="3B7E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743E"/>
    <w:multiLevelType w:val="multilevel"/>
    <w:tmpl w:val="0410001D"/>
    <w:styleLink w:val="titolo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260C7A"/>
    <w:multiLevelType w:val="multilevel"/>
    <w:tmpl w:val="0410001D"/>
    <w:styleLink w:val="puntielenco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F30BAB"/>
    <w:multiLevelType w:val="hybridMultilevel"/>
    <w:tmpl w:val="FC5E6F80"/>
    <w:lvl w:ilvl="0" w:tplc="B74C9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600B"/>
    <w:multiLevelType w:val="hybridMultilevel"/>
    <w:tmpl w:val="A44A510A"/>
    <w:lvl w:ilvl="0" w:tplc="F1AC0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18"/>
    <w:rsid w:val="00013672"/>
    <w:rsid w:val="00025940"/>
    <w:rsid w:val="00026310"/>
    <w:rsid w:val="000B2AC8"/>
    <w:rsid w:val="001553F0"/>
    <w:rsid w:val="001C5820"/>
    <w:rsid w:val="00217A86"/>
    <w:rsid w:val="002238A4"/>
    <w:rsid w:val="002B0C5D"/>
    <w:rsid w:val="003A1D16"/>
    <w:rsid w:val="003C07C5"/>
    <w:rsid w:val="00415B46"/>
    <w:rsid w:val="00416CF7"/>
    <w:rsid w:val="004C0746"/>
    <w:rsid w:val="005033D5"/>
    <w:rsid w:val="00587566"/>
    <w:rsid w:val="005B35C0"/>
    <w:rsid w:val="006B00CF"/>
    <w:rsid w:val="006B1D22"/>
    <w:rsid w:val="007051CC"/>
    <w:rsid w:val="007713DC"/>
    <w:rsid w:val="00773DA0"/>
    <w:rsid w:val="00776342"/>
    <w:rsid w:val="00792769"/>
    <w:rsid w:val="00892467"/>
    <w:rsid w:val="008A5AE8"/>
    <w:rsid w:val="008C5A9C"/>
    <w:rsid w:val="00900EBD"/>
    <w:rsid w:val="0093162A"/>
    <w:rsid w:val="00956D18"/>
    <w:rsid w:val="00987F62"/>
    <w:rsid w:val="00A5628D"/>
    <w:rsid w:val="00A95334"/>
    <w:rsid w:val="00AA14F6"/>
    <w:rsid w:val="00AD4381"/>
    <w:rsid w:val="00AE6546"/>
    <w:rsid w:val="00AE7303"/>
    <w:rsid w:val="00B614FF"/>
    <w:rsid w:val="00B932ED"/>
    <w:rsid w:val="00BA2178"/>
    <w:rsid w:val="00BD2CBC"/>
    <w:rsid w:val="00BF52A5"/>
    <w:rsid w:val="00C13341"/>
    <w:rsid w:val="00C533C8"/>
    <w:rsid w:val="00C60175"/>
    <w:rsid w:val="00CB5D95"/>
    <w:rsid w:val="00CF1E92"/>
    <w:rsid w:val="00DD11C1"/>
    <w:rsid w:val="00DD1966"/>
    <w:rsid w:val="00E3643B"/>
    <w:rsid w:val="00EF0287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6D5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ORPO TESTO"/>
    <w:qFormat/>
    <w:rsid w:val="00956D18"/>
    <w:rPr>
      <w:rFonts w:eastAsia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5">
    <w:name w:val="titolo 5"/>
    <w:basedOn w:val="Nessunelenco"/>
    <w:uiPriority w:val="99"/>
    <w:rsid w:val="00026310"/>
    <w:pPr>
      <w:numPr>
        <w:numId w:val="1"/>
      </w:numPr>
    </w:pPr>
  </w:style>
  <w:style w:type="numbering" w:customStyle="1" w:styleId="puntielenco">
    <w:name w:val="punti elenco"/>
    <w:basedOn w:val="Nessunelenco"/>
    <w:uiPriority w:val="99"/>
    <w:rsid w:val="00026310"/>
    <w:pPr>
      <w:numPr>
        <w:numId w:val="2"/>
      </w:numPr>
    </w:pPr>
  </w:style>
  <w:style w:type="paragraph" w:styleId="Nessunaspaziatura">
    <w:name w:val="No Spacing"/>
    <w:uiPriority w:val="1"/>
    <w:qFormat/>
    <w:rsid w:val="00956D18"/>
    <w:rPr>
      <w:rFonts w:eastAsiaTheme="minorHAnsi"/>
    </w:rPr>
  </w:style>
  <w:style w:type="character" w:styleId="Collegamentoipertestuale">
    <w:name w:val="Hyperlink"/>
    <w:basedOn w:val="Carpredefinitoparagrafo"/>
    <w:uiPriority w:val="99"/>
    <w:unhideWhenUsed/>
    <w:rsid w:val="00956D1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6D1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56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6D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6D18"/>
    <w:rPr>
      <w:rFonts w:eastAsia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6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6D18"/>
    <w:rPr>
      <w:rFonts w:eastAsiaTheme="minorHAns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3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3F0"/>
    <w:rPr>
      <w:rFonts w:ascii="Segoe UI" w:eastAsiaTheme="minorHAns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87F62"/>
    <w:rPr>
      <w:rFonts w:eastAsiaTheme="minorHAnsi"/>
    </w:rPr>
  </w:style>
  <w:style w:type="table" w:styleId="Grigliatabella">
    <w:name w:val="Table Grid"/>
    <w:basedOn w:val="Tabellanormale"/>
    <w:uiPriority w:val="39"/>
    <w:rsid w:val="0058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34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1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D16"/>
    <w:rPr>
      <w:rFonts w:eastAsia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3A1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D1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.unibo.it/cefeo/it/partnership" TargetMode="External"/><Relationship Id="rId13" Type="http://schemas.openxmlformats.org/officeDocument/2006/relationships/hyperlink" Target="https://doi.org/10.1177/105382590803100202" TargetMode="External"/><Relationship Id="rId18" Type="http://schemas.openxmlformats.org/officeDocument/2006/relationships/hyperlink" Target="https://doi.org/10.1177/10538259176905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/1053825991014002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4729670185200041" TargetMode="External"/><Relationship Id="rId17" Type="http://schemas.openxmlformats.org/officeDocument/2006/relationships/hyperlink" Target="https://doi.org/10.1007/BF03400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ndle.uws.edu.au:8081/1959.7/40186" TargetMode="External"/><Relationship Id="rId20" Type="http://schemas.openxmlformats.org/officeDocument/2006/relationships/hyperlink" Target="https://doi.org/10.1080/02614367.2013.8417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053825916634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02/003465430670010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77/105382599401700109" TargetMode="External"/><Relationship Id="rId19" Type="http://schemas.openxmlformats.org/officeDocument/2006/relationships/hyperlink" Target="https://doi.org/10.1177/1053825913514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74/1874350120130802001" TargetMode="External"/><Relationship Id="rId14" Type="http://schemas.openxmlformats.org/officeDocument/2006/relationships/hyperlink" Target="https://doi.org/10.1023/A:10036490318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544AE-9DEB-4618-9F1F-AC3DE492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2946</Words>
  <Characters>16797</Characters>
  <Application>Microsoft Office Word</Application>
  <DocSecurity>0</DocSecurity>
  <Lines>139</Lines>
  <Paragraphs>39</Paragraphs>
  <ScaleCrop>false</ScaleCrop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2022-11-10T09:54:00Z</dcterms:created>
  <dcterms:modified xsi:type="dcterms:W3CDTF">2022-11-10T09:55:00Z</dcterms:modified>
</cp:coreProperties>
</file>